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71484A" w14:textId="34775D25" w:rsidR="00E90E49" w:rsidRPr="00CE0424" w:rsidRDefault="00E90E49" w:rsidP="00E35559">
      <w:pPr>
        <w:pStyle w:val="3GPPHeader"/>
        <w:spacing w:after="60"/>
        <w:rPr>
          <w:sz w:val="32"/>
          <w:szCs w:val="32"/>
          <w:highlight w:val="yellow"/>
        </w:rPr>
      </w:pPr>
      <w:bookmarkStart w:id="0" w:name="_Hlk54275161"/>
      <w:bookmarkEnd w:id="0"/>
      <w:r w:rsidRPr="00CE0424">
        <w:t>3GPP TSG-RAN WG</w:t>
      </w:r>
      <w:r w:rsidR="00F20F5C">
        <w:t>2</w:t>
      </w:r>
      <w:r w:rsidRPr="00CE0424">
        <w:t xml:space="preserve"> #</w:t>
      </w:r>
      <w:r w:rsidR="00F20F5C">
        <w:t>1</w:t>
      </w:r>
      <w:r w:rsidR="00C268E6">
        <w:t>1</w:t>
      </w:r>
      <w:r w:rsidR="001D4589">
        <w:t>2</w:t>
      </w:r>
      <w:r w:rsidR="00F20F5C">
        <w:t>e</w:t>
      </w:r>
      <w:r w:rsidRPr="00CE0424">
        <w:tab/>
      </w:r>
      <w:proofErr w:type="spellStart"/>
      <w:r w:rsidRPr="00CE0424">
        <w:rPr>
          <w:sz w:val="32"/>
          <w:szCs w:val="32"/>
        </w:rPr>
        <w:t>Tdoc</w:t>
      </w:r>
      <w:proofErr w:type="spellEnd"/>
      <w:r w:rsidR="00BD5FAE">
        <w:rPr>
          <w:sz w:val="32"/>
          <w:szCs w:val="32"/>
        </w:rPr>
        <w:t xml:space="preserve"> </w:t>
      </w:r>
      <w:r w:rsidR="00416441">
        <w:rPr>
          <w:sz w:val="32"/>
          <w:szCs w:val="32"/>
        </w:rPr>
        <w:t>R2-2010062</w:t>
      </w:r>
    </w:p>
    <w:p w14:paraId="0CEF36EC" w14:textId="7D6F1DE1" w:rsidR="00E90E49" w:rsidRPr="00CE0424" w:rsidRDefault="00C268E6" w:rsidP="00311702">
      <w:pPr>
        <w:pStyle w:val="3GPPHeader"/>
      </w:pPr>
      <w:r>
        <w:t xml:space="preserve">Electronic meeting, </w:t>
      </w:r>
      <w:r w:rsidR="001D4589">
        <w:t>November 2</w:t>
      </w:r>
      <w:r w:rsidR="001D4589" w:rsidRPr="001D4589">
        <w:rPr>
          <w:vertAlign w:val="superscript"/>
        </w:rPr>
        <w:t>nd</w:t>
      </w:r>
      <w:r w:rsidR="001D4589">
        <w:t xml:space="preserve"> – 13</w:t>
      </w:r>
      <w:r w:rsidR="001D4589" w:rsidRPr="001D4589">
        <w:rPr>
          <w:vertAlign w:val="superscript"/>
        </w:rPr>
        <w:t>th</w:t>
      </w:r>
      <w:r w:rsidR="00E75693">
        <w:t xml:space="preserve">, </w:t>
      </w:r>
      <w:r>
        <w:t>2020</w:t>
      </w:r>
    </w:p>
    <w:p w14:paraId="501AAEC3" w14:textId="77777777" w:rsidR="00E90E49" w:rsidRPr="00CE0424" w:rsidRDefault="00E90E49" w:rsidP="00357380">
      <w:pPr>
        <w:pStyle w:val="3GPPHeader"/>
      </w:pPr>
      <w:bookmarkStart w:id="1" w:name="_GoBack"/>
      <w:bookmarkEnd w:id="1"/>
    </w:p>
    <w:p w14:paraId="2AAF3D11" w14:textId="24A1044F"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143088">
        <w:rPr>
          <w:sz w:val="22"/>
          <w:szCs w:val="22"/>
        </w:rPr>
        <w:t>8.2</w:t>
      </w:r>
      <w:r w:rsidR="002F7F2A">
        <w:rPr>
          <w:sz w:val="22"/>
          <w:szCs w:val="22"/>
        </w:rPr>
        <w:t>.2</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13F67203" w:rsidR="00E90E49" w:rsidRPr="00CE0424" w:rsidRDefault="003D3C45" w:rsidP="00311702">
      <w:pPr>
        <w:pStyle w:val="3GPPHeader"/>
        <w:rPr>
          <w:sz w:val="22"/>
          <w:szCs w:val="22"/>
        </w:rPr>
      </w:pPr>
      <w:r>
        <w:rPr>
          <w:sz w:val="22"/>
          <w:szCs w:val="22"/>
        </w:rPr>
        <w:t>Title:</w:t>
      </w:r>
      <w:r w:rsidR="00E90E49" w:rsidRPr="00CE0424">
        <w:rPr>
          <w:sz w:val="22"/>
          <w:szCs w:val="22"/>
        </w:rPr>
        <w:tab/>
      </w:r>
      <w:r w:rsidR="00143088">
        <w:rPr>
          <w:sz w:val="22"/>
          <w:szCs w:val="22"/>
        </w:rPr>
        <w:t>Efficient SCG (de)activation</w:t>
      </w:r>
    </w:p>
    <w:p w14:paraId="2C97079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43088">
        <w:rPr>
          <w:sz w:val="22"/>
          <w:szCs w:val="22"/>
        </w:rPr>
        <w:t>Discussion, Decision</w:t>
      </w:r>
    </w:p>
    <w:p w14:paraId="595B8397" w14:textId="77777777" w:rsidR="00E90E49" w:rsidRPr="000A7531" w:rsidRDefault="00230D18" w:rsidP="00CE0424">
      <w:pPr>
        <w:pStyle w:val="Heading1"/>
      </w:pPr>
      <w:r w:rsidRPr="000A7531">
        <w:t>1</w:t>
      </w:r>
      <w:r w:rsidRPr="000A7531">
        <w:tab/>
      </w:r>
      <w:r w:rsidR="00E90E49" w:rsidRPr="000A7531">
        <w:t>Introduction</w:t>
      </w:r>
    </w:p>
    <w:p w14:paraId="26D4294C" w14:textId="0298CDD9" w:rsidR="00477768" w:rsidRPr="000A7531" w:rsidRDefault="000A7531" w:rsidP="00CE0424">
      <w:pPr>
        <w:pStyle w:val="BodyText"/>
      </w:pPr>
      <w:r>
        <w:rPr>
          <w:lang w:val="en-US"/>
        </w:rPr>
        <w:t xml:space="preserve">In this contribution we continue discussion on the efficient SCG (de)activation objective of the Rel-17 WI on </w:t>
      </w:r>
      <w:r w:rsidR="00474445" w:rsidRPr="00474445">
        <w:rPr>
          <w:lang w:val="en-US"/>
        </w:rPr>
        <w:t>MR DC/CA further enhancements</w:t>
      </w:r>
      <w:r w:rsidR="00474445">
        <w:rPr>
          <w:lang w:val="en-US"/>
        </w:rPr>
        <w:t xml:space="preserve">. </w:t>
      </w:r>
      <w:r w:rsidR="00C007AC">
        <w:rPr>
          <w:lang w:val="en-US"/>
        </w:rPr>
        <w:t xml:space="preserve">For </w:t>
      </w:r>
      <w:r w:rsidR="00474445">
        <w:rPr>
          <w:lang w:val="en-US"/>
        </w:rPr>
        <w:t>the performance</w:t>
      </w:r>
      <w:r w:rsidR="00C007AC">
        <w:rPr>
          <w:lang w:val="en-US"/>
        </w:rPr>
        <w:t>/</w:t>
      </w:r>
      <w:r w:rsidR="00474445">
        <w:rPr>
          <w:lang w:val="en-US"/>
        </w:rPr>
        <w:t>complexity tradeoff for SCG (de)activation</w:t>
      </w:r>
      <w:r w:rsidR="00C007AC">
        <w:rPr>
          <w:lang w:val="en-US"/>
        </w:rPr>
        <w:t>,</w:t>
      </w:r>
      <w:r w:rsidR="00474445">
        <w:rPr>
          <w:lang w:val="en-US"/>
        </w:rPr>
        <w:t xml:space="preserve"> </w:t>
      </w:r>
      <w:r w:rsidR="00C007AC">
        <w:rPr>
          <w:lang w:val="en-US"/>
        </w:rPr>
        <w:t>w</w:t>
      </w:r>
      <w:r w:rsidR="00474445">
        <w:rPr>
          <w:lang w:val="en-US"/>
        </w:rPr>
        <w:t xml:space="preserve">e present simulation results showing the performance impact of SCG activation </w:t>
      </w:r>
      <w:r w:rsidR="002045A6">
        <w:rPr>
          <w:lang w:val="en-US"/>
        </w:rPr>
        <w:t>time</w:t>
      </w:r>
      <w:r w:rsidR="00474445">
        <w:rPr>
          <w:lang w:val="en-US"/>
        </w:rPr>
        <w:t xml:space="preserve"> on the MCG offloading potential. We also provide an overview of the factors that affect the SCG activation </w:t>
      </w:r>
      <w:r w:rsidR="002045A6">
        <w:rPr>
          <w:lang w:val="en-US"/>
        </w:rPr>
        <w:t>time</w:t>
      </w:r>
      <w:r w:rsidR="00474445">
        <w:rPr>
          <w:lang w:val="en-US"/>
        </w:rPr>
        <w:t>. Based on this we address t</w:t>
      </w:r>
      <w:r w:rsidR="00C007AC">
        <w:rPr>
          <w:lang w:val="en-US"/>
        </w:rPr>
        <w:t>he</w:t>
      </w:r>
      <w:r w:rsidR="00474445">
        <w:rPr>
          <w:lang w:val="en-US"/>
        </w:rPr>
        <w:t xml:space="preserve"> points left for FFS in the </w:t>
      </w:r>
      <w:r w:rsidR="00C007AC">
        <w:t xml:space="preserve">[RAN2#111e][919] email discussion </w:t>
      </w:r>
      <w:r w:rsidR="00C007AC">
        <w:fldChar w:fldCharType="begin"/>
      </w:r>
      <w:r w:rsidR="00C007AC">
        <w:instrText xml:space="preserve"> REF _Ref53453896 \n \h  \* MERGEFORMAT </w:instrText>
      </w:r>
      <w:r w:rsidR="00C007AC">
        <w:fldChar w:fldCharType="separate"/>
      </w:r>
      <w:r w:rsidR="00C007AC">
        <w:t>[1]</w:t>
      </w:r>
      <w:r w:rsidR="00C007AC">
        <w:fldChar w:fldCharType="end"/>
      </w:r>
      <w:r w:rsidR="00C007AC">
        <w:rPr>
          <w:lang w:val="en-US"/>
        </w:rPr>
        <w:t xml:space="preserve">. </w:t>
      </w:r>
    </w:p>
    <w:p w14:paraId="34412299" w14:textId="77777777" w:rsidR="004000E8" w:rsidRPr="00CE0424" w:rsidRDefault="00230D18" w:rsidP="00CE0424">
      <w:pPr>
        <w:pStyle w:val="Heading1"/>
      </w:pPr>
      <w:bookmarkStart w:id="2" w:name="_Ref178064866"/>
      <w:r>
        <w:t>2</w:t>
      </w:r>
      <w:r>
        <w:tab/>
      </w:r>
      <w:r w:rsidR="004000E8" w:rsidRPr="00CE0424">
        <w:t>Discussion</w:t>
      </w:r>
      <w:bookmarkEnd w:id="2"/>
    </w:p>
    <w:p w14:paraId="66C85A78" w14:textId="00A2FB16" w:rsidR="005E62EF" w:rsidRDefault="00230D18" w:rsidP="00143088">
      <w:pPr>
        <w:pStyle w:val="Heading2"/>
      </w:pPr>
      <w:r>
        <w:t>2.1</w:t>
      </w:r>
      <w:r>
        <w:tab/>
      </w:r>
      <w:r w:rsidR="002D15C1">
        <w:t>Impact of SCG activation time on p</w:t>
      </w:r>
      <w:r w:rsidR="005E62EF">
        <w:t>erformance</w:t>
      </w:r>
    </w:p>
    <w:p w14:paraId="6A67483C" w14:textId="48E493B7" w:rsidR="002D15C1" w:rsidRDefault="002D15C1" w:rsidP="00BA2D1B">
      <w:pPr>
        <w:pStyle w:val="BodyText"/>
      </w:pPr>
      <w:r>
        <w:t>During the [RAN2#111e][919] email discussion</w:t>
      </w:r>
      <w:r w:rsidR="00F756B5">
        <w:t xml:space="preserve"> </w:t>
      </w:r>
      <w:r w:rsidR="00F756B5">
        <w:fldChar w:fldCharType="begin"/>
      </w:r>
      <w:r w:rsidR="00F756B5">
        <w:instrText xml:space="preserve"> REF _Ref53453896 \n \h </w:instrText>
      </w:r>
      <w:r w:rsidR="00BA2D1B">
        <w:instrText xml:space="preserve"> \* MERGEFORMAT </w:instrText>
      </w:r>
      <w:r w:rsidR="00F756B5">
        <w:fldChar w:fldCharType="separate"/>
      </w:r>
      <w:r w:rsidR="00F756B5">
        <w:t>[1]</w:t>
      </w:r>
      <w:r w:rsidR="00F756B5">
        <w:fldChar w:fldCharType="end"/>
      </w:r>
      <w:r>
        <w:t xml:space="preserve"> there was a debate about the level of UE activity for an de-activated SCG. It was argued that in order to maximize UE battery life, the UE should refrain from doing most of the actions normally performed for active SCG. A downside of this is that activating the SCG again when there is again data to transmit will increase the time it takes for SCG activation. In this section we present simulation results </w:t>
      </w:r>
      <w:r w:rsidR="00EF1D18">
        <w:t>showing the trade</w:t>
      </w:r>
      <w:r w:rsidR="005272BB">
        <w:t>-</w:t>
      </w:r>
      <w:r w:rsidR="00EF1D18">
        <w:t>off between SCG activation time (i.e. the time to activate SCG) and MCG offloading potential.</w:t>
      </w:r>
    </w:p>
    <w:p w14:paraId="263735D1" w14:textId="6CD990FB" w:rsidR="00417CC3" w:rsidRDefault="00417CC3" w:rsidP="00417CC3">
      <w:pPr>
        <w:pStyle w:val="Heading3"/>
      </w:pPr>
      <w:r>
        <w:t>2.1.1</w:t>
      </w:r>
      <w:r>
        <w:tab/>
        <w:t>Traffic model</w:t>
      </w:r>
    </w:p>
    <w:p w14:paraId="719BCF90" w14:textId="33B97528" w:rsidR="00417CC3" w:rsidRDefault="00417CC3" w:rsidP="00BA2D1B">
      <w:pPr>
        <w:pStyle w:val="BodyText"/>
      </w:pPr>
      <w:r>
        <w:t xml:space="preserve">The concept of SCG activation and deactivation is most efficient for traffic where </w:t>
      </w:r>
      <w:r w:rsidR="000F6111">
        <w:t>bursts of data large enough to benefit from SCG transmission are separated by periods of lower activity, during which the SCG can be deactivated</w:t>
      </w:r>
      <w:r w:rsidR="006E264B">
        <w:t xml:space="preserve">, see </w:t>
      </w:r>
      <w:r w:rsidR="00FF5B9B">
        <w:fldChar w:fldCharType="begin"/>
      </w:r>
      <w:r w:rsidR="00FF5B9B">
        <w:instrText xml:space="preserve"> REF _Ref53451133 \h </w:instrText>
      </w:r>
      <w:r w:rsidR="00BA2D1B">
        <w:instrText xml:space="preserve"> \* MERGEFORMAT </w:instrText>
      </w:r>
      <w:r w:rsidR="00FF5B9B">
        <w:fldChar w:fldCharType="separate"/>
      </w:r>
      <w:r w:rsidR="00FF5B9B">
        <w:t xml:space="preserve">Figure </w:t>
      </w:r>
      <w:r w:rsidR="00FF5B9B">
        <w:rPr>
          <w:noProof/>
        </w:rPr>
        <w:t>1</w:t>
      </w:r>
      <w:r w:rsidR="00FF5B9B">
        <w:fldChar w:fldCharType="end"/>
      </w:r>
      <w:r w:rsidR="000F6111">
        <w:t>. The periods of lower activity should</w:t>
      </w:r>
      <w:r w:rsidR="006E264B">
        <w:t xml:space="preserve"> preferably not</w:t>
      </w:r>
      <w:r w:rsidR="000F6111">
        <w:t xml:space="preserve"> </w:t>
      </w:r>
      <w:r w:rsidR="006E264B">
        <w:t xml:space="preserve">be longer than the inactivity timer, after which the connection is released or moved to inactive state. </w:t>
      </w:r>
    </w:p>
    <w:p w14:paraId="41EB4611" w14:textId="2189E1B9" w:rsidR="00417CC3" w:rsidRDefault="00417CC3" w:rsidP="00417CC3">
      <w:r>
        <w:rPr>
          <w:noProof/>
        </w:rPr>
        <w:drawing>
          <wp:inline distT="0" distB="0" distL="0" distR="0" wp14:anchorId="51A978AF" wp14:editId="0FC68ACE">
            <wp:extent cx="6088380" cy="12604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07370" cy="1285089"/>
                    </a:xfrm>
                    <a:prstGeom prst="rect">
                      <a:avLst/>
                    </a:prstGeom>
                    <a:noFill/>
                  </pic:spPr>
                </pic:pic>
              </a:graphicData>
            </a:graphic>
          </wp:inline>
        </w:drawing>
      </w:r>
    </w:p>
    <w:p w14:paraId="41A52EB4" w14:textId="3E1FC2C0" w:rsidR="006E264B" w:rsidRDefault="006E264B" w:rsidP="000B66AF">
      <w:pPr>
        <w:pStyle w:val="Caption"/>
        <w:spacing w:before="0" w:after="240"/>
      </w:pPr>
      <w:bookmarkStart w:id="3" w:name="_Ref53451133"/>
      <w:r>
        <w:t xml:space="preserve">Figure </w:t>
      </w:r>
      <w:r w:rsidR="00416441">
        <w:fldChar w:fldCharType="begin"/>
      </w:r>
      <w:r w:rsidR="00416441">
        <w:instrText xml:space="preserve"> SEQ Figure \* ARABIC </w:instrText>
      </w:r>
      <w:r w:rsidR="00416441">
        <w:fldChar w:fldCharType="separate"/>
      </w:r>
      <w:r w:rsidR="00103862">
        <w:rPr>
          <w:noProof/>
        </w:rPr>
        <w:t>1</w:t>
      </w:r>
      <w:r w:rsidR="00416441">
        <w:rPr>
          <w:noProof/>
        </w:rPr>
        <w:fldChar w:fldCharType="end"/>
      </w:r>
      <w:bookmarkEnd w:id="3"/>
      <w:r>
        <w:t>: Traffic characteristics suitable for SCG (de)activation.</w:t>
      </w:r>
    </w:p>
    <w:p w14:paraId="3EFC9512" w14:textId="55BDF51C" w:rsidR="006E264B" w:rsidRDefault="006E264B" w:rsidP="00BA2D1B">
      <w:pPr>
        <w:pStyle w:val="BodyText"/>
      </w:pPr>
      <w:r>
        <w:t xml:space="preserve">One </w:t>
      </w:r>
      <w:r w:rsidR="00FF5B9B">
        <w:t xml:space="preserve">type of traffic that matches the above traffic characteristics is video on demand. </w:t>
      </w:r>
      <w:r w:rsidR="000B66AF">
        <w:t xml:space="preserve">The client application typically runs a playout buffer, that is first prefilled at high data rate. Once it is full, playout of data in the playout buffer commences, but new video data is not fetched from the server until the data level of the playout buffer has decreased below a predefined threshold. </w:t>
      </w:r>
    </w:p>
    <w:p w14:paraId="6428233C" w14:textId="63DF2758" w:rsidR="005273CA" w:rsidRDefault="006E264B" w:rsidP="006E264B">
      <w:pPr>
        <w:pStyle w:val="Heading3"/>
        <w:rPr>
          <w:lang w:eastAsia="en-GB"/>
        </w:rPr>
      </w:pPr>
      <w:r>
        <w:rPr>
          <w:lang w:eastAsia="en-GB"/>
        </w:rPr>
        <w:lastRenderedPageBreak/>
        <w:t>2.1.2</w:t>
      </w:r>
      <w:r>
        <w:rPr>
          <w:lang w:eastAsia="en-GB"/>
        </w:rPr>
        <w:tab/>
      </w:r>
      <w:r w:rsidR="005273CA">
        <w:rPr>
          <w:lang w:eastAsia="en-GB"/>
        </w:rPr>
        <w:t>Performance metric</w:t>
      </w:r>
    </w:p>
    <w:p w14:paraId="09186E0E" w14:textId="354020D1" w:rsidR="00E40684" w:rsidRDefault="00E40684" w:rsidP="00BA2D1B">
      <w:pPr>
        <w:pStyle w:val="BodyText"/>
      </w:pPr>
      <w:r>
        <w:t xml:space="preserve">Characteristic of video on demand applications is that they are optimized to cope with a wide range of different connections and that they are quite flexible in terms of their requirements on the connection quality. Thanks to the playout buffer, they can cope quite well with variations in bit rate and delay. It is therefore not likely that changes in the SCG activation time will impact the user perceived performance to any larger extent. </w:t>
      </w:r>
    </w:p>
    <w:p w14:paraId="02F5394F" w14:textId="325F4ABF" w:rsidR="005273CA" w:rsidRPr="005273CA" w:rsidRDefault="00E40684" w:rsidP="00BA2D1B">
      <w:pPr>
        <w:pStyle w:val="BodyText"/>
        <w:rPr>
          <w:lang w:eastAsia="en-GB"/>
        </w:rPr>
      </w:pPr>
      <w:r>
        <w:rPr>
          <w:lang w:eastAsia="en-GB"/>
        </w:rPr>
        <w:t>Therefore, t</w:t>
      </w:r>
      <w:r w:rsidR="005273CA">
        <w:rPr>
          <w:lang w:eastAsia="en-GB"/>
        </w:rPr>
        <w:t xml:space="preserve">he performance metric chosen for the study is offloading potential from MCG to SCG. In typical deployments, MCG is deployed in a lower frequency band </w:t>
      </w:r>
      <w:r>
        <w:rPr>
          <w:lang w:eastAsia="en-GB"/>
        </w:rPr>
        <w:t>and SCG is deployed in higher frequency band, with typically higher capacity, but lower robustness. A key objective for such systems is then to maximize the offloading potential to SCG</w:t>
      </w:r>
      <w:r w:rsidR="00715FA7">
        <w:rPr>
          <w:lang w:eastAsia="en-GB"/>
        </w:rPr>
        <w:t>, ensuring stable operation of the MCG. Studies on traffic mix in live systems indicate that video on demand traffic constitutes the largest part of the total traffic and will therefore have a significant impact on the total MCG offloading potential.</w:t>
      </w:r>
    </w:p>
    <w:p w14:paraId="134613B9" w14:textId="4F23C02A" w:rsidR="006E264B" w:rsidRPr="006E264B" w:rsidRDefault="005273CA" w:rsidP="006E264B">
      <w:pPr>
        <w:pStyle w:val="Heading3"/>
        <w:rPr>
          <w:lang w:eastAsia="en-GB"/>
        </w:rPr>
      </w:pPr>
      <w:r>
        <w:rPr>
          <w:lang w:eastAsia="en-GB"/>
        </w:rPr>
        <w:t>2.1.3</w:t>
      </w:r>
      <w:r>
        <w:rPr>
          <w:lang w:eastAsia="en-GB"/>
        </w:rPr>
        <w:tab/>
      </w:r>
      <w:r w:rsidR="006E264B">
        <w:rPr>
          <w:lang w:eastAsia="en-GB"/>
        </w:rPr>
        <w:t>Simulation setup</w:t>
      </w:r>
      <w:r w:rsidR="00715FA7">
        <w:rPr>
          <w:lang w:eastAsia="en-GB"/>
        </w:rPr>
        <w:t xml:space="preserve"> and results</w:t>
      </w:r>
    </w:p>
    <w:p w14:paraId="7B917982" w14:textId="6049D576" w:rsidR="002B0F1A" w:rsidRDefault="00FA23C8" w:rsidP="005E62EF">
      <w:r>
        <w:t>System simulations are performed in hexagonal multi</w:t>
      </w:r>
      <w:r w:rsidR="00D8177E">
        <w:t>-</w:t>
      </w:r>
      <w:r>
        <w:t>user and multi</w:t>
      </w:r>
      <w:r w:rsidR="00D8177E">
        <w:t>-</w:t>
      </w:r>
      <w:r>
        <w:t>cell scenarios (3GPP case1), with macro deployment consisting of 3 sector sites using 3GPP antenna model</w:t>
      </w:r>
      <w:r w:rsidR="00FC3C30">
        <w:t xml:space="preserve"> </w:t>
      </w:r>
      <w:r w:rsidR="00D8177E">
        <w:t>and propagation according to the 3GPP spatial channel model (SCM)</w:t>
      </w:r>
      <w:r>
        <w:t xml:space="preserve">. 4 carriers are configured, </w:t>
      </w:r>
      <w:r w:rsidR="00D8177E">
        <w:t>with</w:t>
      </w:r>
      <w:r>
        <w:t xml:space="preserve"> </w:t>
      </w:r>
      <w:r w:rsidR="00D8177E">
        <w:t>3 of the carriers; 10MHz bandwidth at 800MHz, 20MHz bandwidth at 1800MHz and 20MHz bandwidth at 2600MHz are operating in frequency division duplex (FDD) mode and are used as primary carriers (MCG). One carrier with 100MHz bandwidth at 3500MHz which is operating in Time Division Duplex (TDD) mode can be used in dual connectivity operation (SCG). Furthermore, carrier aggregation is possible between MCG carriers. Selection of primary carrier is done based on measurement of radio quality (RSRP). So is also the activation of SCG.</w:t>
      </w:r>
      <w:r w:rsidR="002B0F1A">
        <w:t xml:space="preserve"> </w:t>
      </w:r>
      <w:r w:rsidR="00D8177E">
        <w:t>Users are stationary and randomly distributed across simulation area with an indoor probability of 80%.</w:t>
      </w:r>
    </w:p>
    <w:p w14:paraId="2310B901" w14:textId="19F8A2F0" w:rsidR="002B0F1A" w:rsidRDefault="002B0F1A" w:rsidP="005E62EF">
      <w:r>
        <w:t>Traffic consists of a mix of MBB use cases (VOD, file downloading, live streaming)</w:t>
      </w:r>
      <w:r w:rsidR="00400A90">
        <w:t xml:space="preserve"> </w:t>
      </w:r>
      <w:r w:rsidR="00C81BB8">
        <w:t>mimicking</w:t>
      </w:r>
      <w:r w:rsidR="00400A90">
        <w:t xml:space="preserve"> traffic in real networks</w:t>
      </w:r>
      <w:r>
        <w:t xml:space="preserve">. </w:t>
      </w:r>
      <w:r w:rsidR="00C81BB8">
        <w:t>V</w:t>
      </w:r>
      <w:r w:rsidR="006B3E91">
        <w:t xml:space="preserve">ideo on demand (VOD) is making up a large portion of the </w:t>
      </w:r>
      <w:r w:rsidR="006F38AA">
        <w:t xml:space="preserve">traffic volume in the network. </w:t>
      </w:r>
      <w:r w:rsidR="005B3251">
        <w:t xml:space="preserve">The behaviour of </w:t>
      </w:r>
      <w:r>
        <w:t xml:space="preserve">VOD users is to </w:t>
      </w:r>
      <w:r w:rsidR="00813E92">
        <w:t>periodically</w:t>
      </w:r>
      <w:r>
        <w:t xml:space="preserve"> download</w:t>
      </w:r>
      <w:r w:rsidR="00FA3957">
        <w:t xml:space="preserve"> chunks of</w:t>
      </w:r>
      <w:r>
        <w:t xml:space="preserve"> data for playout buffer. Between </w:t>
      </w:r>
      <w:r w:rsidR="00FA3957">
        <w:t>the</w:t>
      </w:r>
      <w:r>
        <w:t xml:space="preserve"> buffer intervals there will be</w:t>
      </w:r>
      <w:r w:rsidR="00FA3957">
        <w:t xml:space="preserve"> longer</w:t>
      </w:r>
      <w:r>
        <w:t xml:space="preserve"> idle times </w:t>
      </w:r>
      <w:r w:rsidR="00FA3957">
        <w:t xml:space="preserve">(e.g. </w:t>
      </w:r>
      <w:r>
        <w:t>multiple seconds</w:t>
      </w:r>
      <w:r w:rsidR="00FA3957">
        <w:t>)</w:t>
      </w:r>
      <w:r>
        <w:t xml:space="preserve">. During these idle periods </w:t>
      </w:r>
      <w:r w:rsidR="00FA3957">
        <w:t>the VOD</w:t>
      </w:r>
      <w:r>
        <w:t xml:space="preserve"> users will not transmit any data and if operating in DC mode they will inactivate the SCG. When starting to transmit data again these users will reactivate the SCG according to a specified activation time. The impact of the different activation times on the network is evaluated in the simulations.</w:t>
      </w:r>
    </w:p>
    <w:p w14:paraId="153006E5" w14:textId="4C26FE44" w:rsidR="002B0F1A" w:rsidRDefault="002B0F1A" w:rsidP="005E62EF">
      <w:r>
        <w:t xml:space="preserve">Figure 2 show the </w:t>
      </w:r>
      <w:r w:rsidR="002A500B">
        <w:t xml:space="preserve">downlink </w:t>
      </w:r>
      <w:proofErr w:type="spellStart"/>
      <w:r w:rsidR="002A500B">
        <w:t>subband</w:t>
      </w:r>
      <w:proofErr w:type="spellEnd"/>
      <w:r w:rsidR="002A500B">
        <w:t xml:space="preserve"> utilization vs the network load on a selected </w:t>
      </w:r>
      <w:r w:rsidR="005F0E29">
        <w:t xml:space="preserve">MCG </w:t>
      </w:r>
      <w:r w:rsidR="002A500B">
        <w:t xml:space="preserve">carrier for various settings of SCG activation time. As is expected it is possible to see that with increasing network load the utilization goes up. What can also be seen is that there is drastic offloading effect when reducing the SCG activation time. At a medium loaded network (0.2-0.4 relative load) up to 50% less </w:t>
      </w:r>
      <w:proofErr w:type="spellStart"/>
      <w:r w:rsidR="002A500B">
        <w:t>subband</w:t>
      </w:r>
      <w:proofErr w:type="spellEnd"/>
      <w:r w:rsidR="002A500B">
        <w:t xml:space="preserve"> utilization on the MCG carrier can be seen.</w:t>
      </w:r>
    </w:p>
    <w:p w14:paraId="64FF96C9" w14:textId="73AB3137" w:rsidR="005E62EF" w:rsidRDefault="0082319B" w:rsidP="0034013D">
      <w:pPr>
        <w:jc w:val="center"/>
      </w:pPr>
      <w:r w:rsidRPr="0082319B">
        <w:rPr>
          <w:noProof/>
        </w:rPr>
        <w:lastRenderedPageBreak/>
        <w:drawing>
          <wp:inline distT="0" distB="0" distL="0" distR="0" wp14:anchorId="208D2DEC" wp14:editId="3CDB20D2">
            <wp:extent cx="4659630" cy="35479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89031" cy="3570326"/>
                    </a:xfrm>
                    <a:prstGeom prst="rect">
                      <a:avLst/>
                    </a:prstGeom>
                    <a:noFill/>
                    <a:ln>
                      <a:noFill/>
                    </a:ln>
                  </pic:spPr>
                </pic:pic>
              </a:graphicData>
            </a:graphic>
          </wp:inline>
        </w:drawing>
      </w:r>
    </w:p>
    <w:p w14:paraId="79519ECB" w14:textId="590935ED" w:rsidR="005E62EF" w:rsidRDefault="005E62EF" w:rsidP="0034013D">
      <w:pPr>
        <w:pStyle w:val="Caption"/>
        <w:spacing w:before="0" w:after="240"/>
        <w:jc w:val="center"/>
      </w:pPr>
      <w:bookmarkStart w:id="4" w:name="_Ref54040279"/>
      <w:r>
        <w:t xml:space="preserve">Figure </w:t>
      </w:r>
      <w:r w:rsidR="00416441">
        <w:fldChar w:fldCharType="begin"/>
      </w:r>
      <w:r w:rsidR="00416441">
        <w:instrText xml:space="preserve"> SEQ Figure \* ARABIC </w:instrText>
      </w:r>
      <w:r w:rsidR="00416441">
        <w:fldChar w:fldCharType="separate"/>
      </w:r>
      <w:r w:rsidR="00103862">
        <w:rPr>
          <w:noProof/>
        </w:rPr>
        <w:t>2</w:t>
      </w:r>
      <w:r w:rsidR="00416441">
        <w:rPr>
          <w:noProof/>
        </w:rPr>
        <w:fldChar w:fldCharType="end"/>
      </w:r>
      <w:bookmarkEnd w:id="4"/>
      <w:r>
        <w:t xml:space="preserve">: </w:t>
      </w:r>
      <w:r w:rsidR="008C5B06">
        <w:t xml:space="preserve">Downlink </w:t>
      </w:r>
      <w:proofErr w:type="spellStart"/>
      <w:r w:rsidR="008C5B06">
        <w:t>subband</w:t>
      </w:r>
      <w:proofErr w:type="spellEnd"/>
      <w:r w:rsidR="008C5B06">
        <w:t xml:space="preserve"> utilization versus relative load (percentage of max users in network) for various SCG activation time configurations.</w:t>
      </w:r>
    </w:p>
    <w:p w14:paraId="0B78F567" w14:textId="45BDBF7E" w:rsidR="002A500B" w:rsidRDefault="002A500B" w:rsidP="0039160F">
      <w:r>
        <w:t>Figure 3 show</w:t>
      </w:r>
      <w:r w:rsidR="00A80197">
        <w:t>s</w:t>
      </w:r>
      <w:r>
        <w:t xml:space="preserve"> the a</w:t>
      </w:r>
      <w:r w:rsidR="00373885">
        <w:t>verage</w:t>
      </w:r>
      <w:r>
        <w:t xml:space="preserve"> active time </w:t>
      </w:r>
      <w:r w:rsidR="00E03BC4">
        <w:t>in</w:t>
      </w:r>
      <w:r>
        <w:t xml:space="preserve"> each cell group</w:t>
      </w:r>
      <w:r w:rsidR="006D523E">
        <w:t xml:space="preserve"> for the VOD users</w:t>
      </w:r>
      <w:r w:rsidR="00FA3957">
        <w:t xml:space="preserve"> and</w:t>
      </w:r>
      <w:r w:rsidR="00373885">
        <w:t xml:space="preserve"> the reason for the </w:t>
      </w:r>
      <w:r w:rsidR="007C1C72">
        <w:t xml:space="preserve">previous </w:t>
      </w:r>
      <w:r w:rsidR="00373885">
        <w:t xml:space="preserve">offloading </w:t>
      </w:r>
      <w:r w:rsidR="007C1C72">
        <w:t xml:space="preserve">effect </w:t>
      </w:r>
      <w:r w:rsidR="00373885">
        <w:t xml:space="preserve">can be </w:t>
      </w:r>
      <w:r w:rsidR="00D86725">
        <w:t>explained</w:t>
      </w:r>
      <w:r w:rsidR="00373885">
        <w:t xml:space="preserve">. With increasing activation </w:t>
      </w:r>
      <w:proofErr w:type="gramStart"/>
      <w:r w:rsidR="00373885">
        <w:t>time</w:t>
      </w:r>
      <w:proofErr w:type="gramEnd"/>
      <w:r w:rsidR="00373885">
        <w:t xml:space="preserve"> the ratio between the active time of the MCG and SCG will diverge. With increasing </w:t>
      </w:r>
      <w:r w:rsidR="00B3109F">
        <w:t>SCG</w:t>
      </w:r>
      <w:r w:rsidR="00373885">
        <w:t xml:space="preserve"> activation time it will take longer until bits are possible to be transferred through the SCG. Since the SCG have a high bandwidth</w:t>
      </w:r>
      <w:r w:rsidR="00B3109F">
        <w:t>,</w:t>
      </w:r>
      <w:r w:rsidR="00373885">
        <w:t xml:space="preserve"> as soon as this path is activated the remaining bits in the buffers will be transmitted fast over the air interface. With long activation time most of the bits will be transferred over the MCG before transmission on the SCG is possible </w:t>
      </w:r>
      <w:r w:rsidR="00B3109F">
        <w:t xml:space="preserve">and </w:t>
      </w:r>
      <w:r w:rsidR="00373885">
        <w:t xml:space="preserve">this will also result in a total longer transmission time, thus the user </w:t>
      </w:r>
      <w:r w:rsidR="00B3109F">
        <w:t xml:space="preserve">will have to be </w:t>
      </w:r>
      <w:r w:rsidR="00373885">
        <w:t xml:space="preserve">active for a longer total period. </w:t>
      </w:r>
    </w:p>
    <w:p w14:paraId="386B8E7E" w14:textId="4FBCC5D9" w:rsidR="00373885" w:rsidRDefault="00680DFA" w:rsidP="0034013D">
      <w:pPr>
        <w:pStyle w:val="BodyText"/>
        <w:keepNext/>
        <w:jc w:val="center"/>
      </w:pPr>
      <w:r w:rsidRPr="00680DFA">
        <w:rPr>
          <w:noProof/>
        </w:rPr>
        <w:drawing>
          <wp:inline distT="0" distB="0" distL="0" distR="0" wp14:anchorId="2B3F2651" wp14:editId="6FDA49C3">
            <wp:extent cx="4076700" cy="291694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99200" cy="2933048"/>
                    </a:xfrm>
                    <a:prstGeom prst="rect">
                      <a:avLst/>
                    </a:prstGeom>
                    <a:noFill/>
                    <a:ln>
                      <a:noFill/>
                    </a:ln>
                  </pic:spPr>
                </pic:pic>
              </a:graphicData>
            </a:graphic>
          </wp:inline>
        </w:drawing>
      </w:r>
    </w:p>
    <w:p w14:paraId="1405A26A" w14:textId="29E1FACF" w:rsidR="005E62EF" w:rsidRDefault="00373885" w:rsidP="0034013D">
      <w:pPr>
        <w:pStyle w:val="Caption"/>
        <w:jc w:val="center"/>
      </w:pPr>
      <w:r>
        <w:t xml:space="preserve">Figure </w:t>
      </w:r>
      <w:r w:rsidR="00416441">
        <w:fldChar w:fldCharType="begin"/>
      </w:r>
      <w:r w:rsidR="00416441">
        <w:instrText xml:space="preserve"> SEQ Figure \* ARABIC </w:instrText>
      </w:r>
      <w:r w:rsidR="00416441">
        <w:fldChar w:fldCharType="separate"/>
      </w:r>
      <w:r w:rsidR="00103862">
        <w:rPr>
          <w:noProof/>
        </w:rPr>
        <w:t>3</w:t>
      </w:r>
      <w:r w:rsidR="00416441">
        <w:rPr>
          <w:noProof/>
        </w:rPr>
        <w:fldChar w:fldCharType="end"/>
      </w:r>
      <w:r>
        <w:t>: Average active time (s) versus SCG activation time</w:t>
      </w:r>
      <w:r w:rsidR="009B3BA7">
        <w:t xml:space="preserve"> (s)</w:t>
      </w:r>
      <w:r w:rsidR="007E5181">
        <w:t xml:space="preserve"> </w:t>
      </w:r>
      <w:r w:rsidR="008C5B06">
        <w:t>for VOD users</w:t>
      </w:r>
      <w:r>
        <w:t>.</w:t>
      </w:r>
    </w:p>
    <w:p w14:paraId="6C40E8E1" w14:textId="77777777" w:rsidR="00373885" w:rsidRDefault="00373885" w:rsidP="00BA2D1B">
      <w:pPr>
        <w:pStyle w:val="BodyText"/>
      </w:pPr>
    </w:p>
    <w:p w14:paraId="5CE81B88" w14:textId="2959B5C5" w:rsidR="005E62EF" w:rsidRDefault="005E62EF" w:rsidP="005E62EF">
      <w:pPr>
        <w:pStyle w:val="Observation"/>
      </w:pPr>
      <w:bookmarkStart w:id="5" w:name="_Toc54294641"/>
      <w:r>
        <w:t>SCG activation time heavily impacts MCG offloading potential</w:t>
      </w:r>
      <w:bookmarkEnd w:id="5"/>
    </w:p>
    <w:p w14:paraId="100FC4DC" w14:textId="59EC4FC7" w:rsidR="00715FA7" w:rsidRDefault="00715FA7" w:rsidP="00715FA7">
      <w:pPr>
        <w:pStyle w:val="Heading2"/>
      </w:pPr>
      <w:r>
        <w:lastRenderedPageBreak/>
        <w:t>2.2</w:t>
      </w:r>
      <w:r>
        <w:tab/>
        <w:t xml:space="preserve">SCG activation </w:t>
      </w:r>
      <w:r w:rsidR="002045A6">
        <w:t>time</w:t>
      </w:r>
    </w:p>
    <w:p w14:paraId="78D5B621" w14:textId="1AF0AB5A" w:rsidR="00DE2001" w:rsidRPr="00BA2D1B" w:rsidRDefault="00715FA7" w:rsidP="00BA2D1B">
      <w:pPr>
        <w:pStyle w:val="BodyText"/>
      </w:pPr>
      <w:r w:rsidRPr="00BA2D1B">
        <w:t>In this section, we analy</w:t>
      </w:r>
      <w:r w:rsidR="000E22B9" w:rsidRPr="00BA2D1B">
        <w:t>s</w:t>
      </w:r>
      <w:r w:rsidRPr="00BA2D1B">
        <w:t xml:space="preserve">e the delay components of the SCG activation </w:t>
      </w:r>
      <w:r w:rsidR="002045A6">
        <w:t>time</w:t>
      </w:r>
      <w:r w:rsidRPr="00BA2D1B">
        <w:t>.</w:t>
      </w:r>
      <w:r w:rsidR="00DE2001" w:rsidRPr="00BA2D1B">
        <w:t xml:space="preserve"> </w:t>
      </w:r>
      <w:r w:rsidR="00F756B5" w:rsidRPr="00BA2D1B">
        <w:t xml:space="preserve">As discussed in </w:t>
      </w:r>
      <w:r w:rsidR="00F756B5" w:rsidRPr="00BA2D1B">
        <w:fldChar w:fldCharType="begin"/>
      </w:r>
      <w:r w:rsidR="00F756B5" w:rsidRPr="00BA2D1B">
        <w:instrText xml:space="preserve"> REF _Ref53453896 \n \h </w:instrText>
      </w:r>
      <w:r w:rsidR="00BA2D1B" w:rsidRPr="00BA2D1B">
        <w:instrText xml:space="preserve"> \* MERGEFORMAT </w:instrText>
      </w:r>
      <w:r w:rsidR="00F756B5" w:rsidRPr="00BA2D1B">
        <w:fldChar w:fldCharType="separate"/>
      </w:r>
      <w:r w:rsidR="00F756B5" w:rsidRPr="00BA2D1B">
        <w:t>[1]</w:t>
      </w:r>
      <w:r w:rsidR="00F756B5" w:rsidRPr="00BA2D1B">
        <w:fldChar w:fldCharType="end"/>
      </w:r>
      <w:r w:rsidR="00F756B5" w:rsidRPr="00BA2D1B">
        <w:t xml:space="preserve">, SCG activation will depend on the actions performed by the UE for the deactivated SCG. The extreme baseline is that the UE </w:t>
      </w:r>
      <w:r w:rsidR="003B7BA7" w:rsidRPr="00BA2D1B">
        <w:t>actions are the same as for released SCG</w:t>
      </w:r>
      <w:r w:rsidR="00F756B5" w:rsidRPr="00BA2D1B">
        <w:t xml:space="preserve">, in which case SCG activation will take the same time as SCG addition. </w:t>
      </w:r>
      <w:r w:rsidR="00DE2001" w:rsidRPr="00BA2D1B">
        <w:t xml:space="preserve">RAN4 has defined the requirement on PSCell Addition Delay in </w:t>
      </w:r>
      <w:r w:rsidR="00C4235B">
        <w:fldChar w:fldCharType="begin"/>
      </w:r>
      <w:r w:rsidR="00C4235B">
        <w:instrText xml:space="preserve"> REF _Ref54166707 \n \h </w:instrText>
      </w:r>
      <w:r w:rsidR="00C4235B">
        <w:fldChar w:fldCharType="separate"/>
      </w:r>
      <w:r w:rsidR="00C4235B">
        <w:t>[2]</w:t>
      </w:r>
      <w:r w:rsidR="00C4235B">
        <w:fldChar w:fldCharType="end"/>
      </w:r>
      <w:r w:rsidR="00C4235B">
        <w:t xml:space="preserve"> </w:t>
      </w:r>
      <w:r w:rsidR="00DE2001" w:rsidRPr="00BA2D1B">
        <w:t>as follows:</w:t>
      </w:r>
    </w:p>
    <w:p w14:paraId="39B8F78A" w14:textId="4E73EF0E" w:rsidR="00DE2001" w:rsidRPr="005272BB" w:rsidRDefault="00DE2001" w:rsidP="00DE2001">
      <w:pPr>
        <w:ind w:left="568" w:hanging="284"/>
        <w:rPr>
          <w:sz w:val="22"/>
          <w:szCs w:val="22"/>
          <w:lang w:val="en-US"/>
        </w:rPr>
      </w:pPr>
      <w:proofErr w:type="spellStart"/>
      <w:r w:rsidRPr="005272BB">
        <w:rPr>
          <w:sz w:val="22"/>
          <w:szCs w:val="22"/>
          <w:lang w:val="en-US"/>
        </w:rPr>
        <w:t>T</w:t>
      </w:r>
      <w:r w:rsidRPr="005272BB">
        <w:rPr>
          <w:sz w:val="22"/>
          <w:szCs w:val="22"/>
          <w:vertAlign w:val="subscript"/>
          <w:lang w:val="en-US"/>
        </w:rPr>
        <w:t>config_PSCell</w:t>
      </w:r>
      <w:proofErr w:type="spellEnd"/>
      <w:r w:rsidRPr="005272BB">
        <w:rPr>
          <w:sz w:val="22"/>
          <w:szCs w:val="22"/>
          <w:lang w:val="en-US"/>
        </w:rPr>
        <w:t xml:space="preserve"> = </w:t>
      </w:r>
      <w:proofErr w:type="spellStart"/>
      <w:r w:rsidRPr="005272BB">
        <w:rPr>
          <w:sz w:val="22"/>
          <w:szCs w:val="22"/>
          <w:lang w:val="en-US"/>
        </w:rPr>
        <w:t>T</w:t>
      </w:r>
      <w:r w:rsidRPr="005272BB">
        <w:rPr>
          <w:sz w:val="22"/>
          <w:szCs w:val="22"/>
          <w:vertAlign w:val="subscript"/>
          <w:lang w:val="en-US"/>
        </w:rPr>
        <w:t>RRC_delay</w:t>
      </w:r>
      <w:proofErr w:type="spellEnd"/>
      <w:r w:rsidRPr="005272BB">
        <w:rPr>
          <w:sz w:val="22"/>
          <w:szCs w:val="22"/>
          <w:lang w:val="en-US"/>
        </w:rPr>
        <w:t xml:space="preserve"> + </w:t>
      </w:r>
      <w:proofErr w:type="spellStart"/>
      <w:r w:rsidRPr="005272BB">
        <w:rPr>
          <w:sz w:val="22"/>
          <w:szCs w:val="22"/>
          <w:lang w:val="en-US"/>
        </w:rPr>
        <w:t>T</w:t>
      </w:r>
      <w:r w:rsidRPr="005272BB">
        <w:rPr>
          <w:sz w:val="22"/>
          <w:szCs w:val="22"/>
          <w:vertAlign w:val="subscript"/>
          <w:lang w:val="en-US"/>
        </w:rPr>
        <w:t>processing</w:t>
      </w:r>
      <w:proofErr w:type="spellEnd"/>
      <w:r w:rsidRPr="005272BB">
        <w:rPr>
          <w:sz w:val="22"/>
          <w:szCs w:val="22"/>
          <w:lang w:val="en-US"/>
        </w:rPr>
        <w:t xml:space="preserve"> + </w:t>
      </w:r>
      <w:proofErr w:type="spellStart"/>
      <w:r w:rsidRPr="005272BB">
        <w:rPr>
          <w:sz w:val="22"/>
          <w:szCs w:val="22"/>
          <w:lang w:val="en-US"/>
        </w:rPr>
        <w:t>T</w:t>
      </w:r>
      <w:r w:rsidRPr="005272BB">
        <w:rPr>
          <w:sz w:val="22"/>
          <w:szCs w:val="22"/>
          <w:vertAlign w:val="subscript"/>
          <w:lang w:val="en-US"/>
        </w:rPr>
        <w:t>search</w:t>
      </w:r>
      <w:proofErr w:type="spellEnd"/>
      <w:r w:rsidRPr="005272BB">
        <w:rPr>
          <w:sz w:val="22"/>
          <w:szCs w:val="22"/>
          <w:lang w:val="en-US"/>
        </w:rPr>
        <w:t xml:space="preserve"> + T</w:t>
      </w:r>
      <w:r w:rsidRPr="005272BB">
        <w:rPr>
          <w:sz w:val="22"/>
          <w:szCs w:val="22"/>
          <w:vertAlign w:val="subscript"/>
          <w:lang w:val="en-US"/>
        </w:rPr>
        <w:t>∆</w:t>
      </w:r>
      <w:r w:rsidRPr="005272BB">
        <w:rPr>
          <w:sz w:val="22"/>
          <w:szCs w:val="22"/>
          <w:lang w:val="en-US"/>
        </w:rPr>
        <w:t xml:space="preserve"> + </w:t>
      </w:r>
      <w:proofErr w:type="spellStart"/>
      <w:r w:rsidRPr="005272BB">
        <w:rPr>
          <w:sz w:val="22"/>
          <w:szCs w:val="22"/>
          <w:lang w:val="en-US"/>
        </w:rPr>
        <w:t>T</w:t>
      </w:r>
      <w:r w:rsidRPr="005272BB">
        <w:rPr>
          <w:sz w:val="22"/>
          <w:szCs w:val="22"/>
          <w:vertAlign w:val="subscript"/>
          <w:lang w:val="en-US"/>
        </w:rPr>
        <w:t>PSCell</w:t>
      </w:r>
      <w:proofErr w:type="spellEnd"/>
      <w:r w:rsidRPr="005272BB">
        <w:rPr>
          <w:sz w:val="22"/>
          <w:szCs w:val="22"/>
          <w:vertAlign w:val="subscript"/>
          <w:lang w:val="en-US"/>
        </w:rPr>
        <w:t>_ DU</w:t>
      </w:r>
      <w:r w:rsidRPr="005272BB">
        <w:rPr>
          <w:sz w:val="22"/>
          <w:szCs w:val="22"/>
          <w:lang w:val="en-US"/>
        </w:rPr>
        <w:t xml:space="preserve"> + 2 </w:t>
      </w:r>
      <w:proofErr w:type="spellStart"/>
      <w:r w:rsidRPr="005272BB">
        <w:rPr>
          <w:sz w:val="22"/>
          <w:szCs w:val="22"/>
          <w:lang w:val="en-US"/>
        </w:rPr>
        <w:t>ms</w:t>
      </w:r>
      <w:proofErr w:type="spellEnd"/>
      <w:r w:rsidRPr="005272BB">
        <w:rPr>
          <w:sz w:val="22"/>
          <w:szCs w:val="22"/>
          <w:lang w:val="en-US"/>
        </w:rPr>
        <w:t xml:space="preserve"> </w:t>
      </w:r>
    </w:p>
    <w:p w14:paraId="07FD442D" w14:textId="77777777" w:rsidR="00DE2001" w:rsidRDefault="00DE2001" w:rsidP="00DE2001">
      <w:pPr>
        <w:ind w:left="568" w:hanging="284"/>
        <w:rPr>
          <w:lang w:val="en-US"/>
        </w:rPr>
      </w:pPr>
      <w:r>
        <w:rPr>
          <w:lang w:val="en-US"/>
        </w:rPr>
        <w:t>where</w:t>
      </w:r>
    </w:p>
    <w:p w14:paraId="1A2D1A10" w14:textId="65953D5F" w:rsidR="00DE2001" w:rsidRPr="00C4235B" w:rsidRDefault="00DE2001" w:rsidP="004E66CB">
      <w:pPr>
        <w:pStyle w:val="ListParagraph"/>
        <w:numPr>
          <w:ilvl w:val="0"/>
          <w:numId w:val="30"/>
        </w:numPr>
        <w:rPr>
          <w:lang w:val="en-US"/>
        </w:rPr>
      </w:pPr>
      <w:proofErr w:type="spellStart"/>
      <w:r w:rsidRPr="00C4235B">
        <w:rPr>
          <w:lang w:val="en-US"/>
        </w:rPr>
        <w:t>T</w:t>
      </w:r>
      <w:r w:rsidRPr="00C4235B">
        <w:rPr>
          <w:vertAlign w:val="subscript"/>
          <w:lang w:val="en-US"/>
        </w:rPr>
        <w:t>RRC_delay</w:t>
      </w:r>
      <w:proofErr w:type="spellEnd"/>
      <w:r w:rsidRPr="00C4235B">
        <w:rPr>
          <w:lang w:val="en-US"/>
        </w:rPr>
        <w:t xml:space="preserve"> is the RRC procedure delay. </w:t>
      </w:r>
      <w:r w:rsidRPr="004E66CB">
        <w:rPr>
          <w:i/>
          <w:iCs/>
          <w:lang w:val="en-US"/>
        </w:rPr>
        <w:t xml:space="preserve">SCG addition </w:t>
      </w:r>
      <w:proofErr w:type="spellStart"/>
      <w:r w:rsidRPr="004E66CB">
        <w:rPr>
          <w:i/>
          <w:iCs/>
          <w:lang w:val="en-US"/>
        </w:rPr>
        <w:t>T</w:t>
      </w:r>
      <w:r w:rsidRPr="004E66CB">
        <w:rPr>
          <w:i/>
          <w:iCs/>
          <w:vertAlign w:val="subscript"/>
          <w:lang w:val="en-US"/>
        </w:rPr>
        <w:t>RRC_delay</w:t>
      </w:r>
      <w:proofErr w:type="spellEnd"/>
      <w:r w:rsidRPr="004E66CB">
        <w:rPr>
          <w:i/>
          <w:iCs/>
          <w:lang w:val="en-US"/>
        </w:rPr>
        <w:t xml:space="preserve"> = 16 </w:t>
      </w:r>
      <w:proofErr w:type="spellStart"/>
      <w:r w:rsidRPr="004E66CB">
        <w:rPr>
          <w:i/>
          <w:iCs/>
          <w:lang w:val="en-US"/>
        </w:rPr>
        <w:t>ms.</w:t>
      </w:r>
      <w:proofErr w:type="spellEnd"/>
    </w:p>
    <w:p w14:paraId="4F4D95A1" w14:textId="56DD39F2" w:rsidR="00DE2001" w:rsidRPr="00C4235B" w:rsidRDefault="00DE2001" w:rsidP="004E66CB">
      <w:pPr>
        <w:pStyle w:val="ListParagraph"/>
        <w:numPr>
          <w:ilvl w:val="0"/>
          <w:numId w:val="30"/>
        </w:numPr>
        <w:rPr>
          <w:lang w:val="en-US"/>
        </w:rPr>
      </w:pPr>
      <w:proofErr w:type="spellStart"/>
      <w:r w:rsidRPr="00C4235B">
        <w:rPr>
          <w:lang w:val="en-US"/>
        </w:rPr>
        <w:t>T</w:t>
      </w:r>
      <w:r w:rsidRPr="00C4235B">
        <w:rPr>
          <w:vertAlign w:val="subscript"/>
          <w:lang w:val="en-US"/>
        </w:rPr>
        <w:t>processing</w:t>
      </w:r>
      <w:proofErr w:type="spellEnd"/>
      <w:r w:rsidRPr="00C4235B">
        <w:rPr>
          <w:lang w:val="en-US"/>
        </w:rPr>
        <w:t xml:space="preserve"> is the SW processing time needed by UE, including RF warm up period. </w:t>
      </w:r>
      <w:proofErr w:type="spellStart"/>
      <w:r w:rsidRPr="004E66CB">
        <w:rPr>
          <w:i/>
          <w:iCs/>
          <w:lang w:val="en-US"/>
        </w:rPr>
        <w:t>T</w:t>
      </w:r>
      <w:r w:rsidRPr="004E66CB">
        <w:rPr>
          <w:i/>
          <w:iCs/>
          <w:vertAlign w:val="subscript"/>
          <w:lang w:val="en-US"/>
        </w:rPr>
        <w:t>processing</w:t>
      </w:r>
      <w:proofErr w:type="spellEnd"/>
      <w:r w:rsidRPr="004E66CB">
        <w:rPr>
          <w:i/>
          <w:iCs/>
          <w:lang w:val="en-US"/>
        </w:rPr>
        <w:t xml:space="preserve"> = 40 </w:t>
      </w:r>
      <w:proofErr w:type="spellStart"/>
      <w:r w:rsidRPr="004E66CB">
        <w:rPr>
          <w:i/>
          <w:iCs/>
          <w:lang w:val="en-US"/>
        </w:rPr>
        <w:t>ms.</w:t>
      </w:r>
      <w:proofErr w:type="spellEnd"/>
    </w:p>
    <w:p w14:paraId="6E7215B5" w14:textId="56BE8A3F" w:rsidR="00DE2001" w:rsidRPr="00C4235B" w:rsidRDefault="00DE2001" w:rsidP="004E66CB">
      <w:pPr>
        <w:pStyle w:val="ListParagraph"/>
        <w:numPr>
          <w:ilvl w:val="0"/>
          <w:numId w:val="30"/>
        </w:numPr>
        <w:rPr>
          <w:lang w:val="en-US"/>
        </w:rPr>
      </w:pPr>
      <w:proofErr w:type="spellStart"/>
      <w:r w:rsidRPr="00C4235B">
        <w:rPr>
          <w:lang w:val="en-US"/>
        </w:rPr>
        <w:t>T</w:t>
      </w:r>
      <w:r w:rsidRPr="00C4235B">
        <w:rPr>
          <w:vertAlign w:val="subscript"/>
          <w:lang w:val="en-US"/>
        </w:rPr>
        <w:t>search</w:t>
      </w:r>
      <w:proofErr w:type="spellEnd"/>
      <w:r w:rsidRPr="00C4235B">
        <w:rPr>
          <w:lang w:val="en-US"/>
        </w:rPr>
        <w:t xml:space="preserve"> is the time for </w:t>
      </w:r>
      <w:bookmarkStart w:id="6" w:name="_Hlk54169068"/>
      <w:r w:rsidRPr="00C4235B">
        <w:rPr>
          <w:lang w:val="en-US"/>
        </w:rPr>
        <w:t>AGC settling and PSS/SSS detection</w:t>
      </w:r>
      <w:bookmarkEnd w:id="6"/>
      <w:r w:rsidRPr="00C4235B">
        <w:rPr>
          <w:lang w:val="en-US"/>
        </w:rPr>
        <w:t xml:space="preserve">. </w:t>
      </w:r>
      <w:r w:rsidR="00F756B5" w:rsidRPr="004E66CB">
        <w:rPr>
          <w:i/>
          <w:iCs/>
          <w:lang w:val="en-US"/>
        </w:rPr>
        <w:t xml:space="preserve">Here we assume </w:t>
      </w:r>
      <w:r w:rsidRPr="004E66CB">
        <w:rPr>
          <w:i/>
          <w:iCs/>
          <w:lang w:val="en-US" w:eastAsia="ko-KR"/>
        </w:rPr>
        <w:t xml:space="preserve">target cell is known, </w:t>
      </w:r>
      <w:proofErr w:type="spellStart"/>
      <w:r w:rsidRPr="004E66CB">
        <w:rPr>
          <w:i/>
          <w:iCs/>
          <w:lang w:val="en-US"/>
        </w:rPr>
        <w:t>T</w:t>
      </w:r>
      <w:r w:rsidRPr="004E66CB">
        <w:rPr>
          <w:i/>
          <w:iCs/>
          <w:vertAlign w:val="subscript"/>
          <w:lang w:val="en-US"/>
        </w:rPr>
        <w:t>search</w:t>
      </w:r>
      <w:proofErr w:type="spellEnd"/>
      <w:r w:rsidRPr="004E66CB">
        <w:rPr>
          <w:i/>
          <w:iCs/>
          <w:lang w:val="en-US"/>
        </w:rPr>
        <w:t xml:space="preserve"> = 0 </w:t>
      </w:r>
      <w:proofErr w:type="spellStart"/>
      <w:r w:rsidRPr="004E66CB">
        <w:rPr>
          <w:i/>
          <w:iCs/>
          <w:lang w:val="en-US"/>
        </w:rPr>
        <w:t>ms.</w:t>
      </w:r>
      <w:proofErr w:type="spellEnd"/>
      <w:r w:rsidRPr="00C4235B">
        <w:rPr>
          <w:lang w:val="en-US" w:eastAsia="ko-KR"/>
        </w:rPr>
        <w:t xml:space="preserve"> </w:t>
      </w:r>
    </w:p>
    <w:p w14:paraId="29B7A0E3" w14:textId="32D0CE6D" w:rsidR="00DE2001" w:rsidRPr="00C4235B" w:rsidRDefault="00DE2001" w:rsidP="004E66CB">
      <w:pPr>
        <w:pStyle w:val="ListParagraph"/>
        <w:numPr>
          <w:ilvl w:val="0"/>
          <w:numId w:val="30"/>
        </w:numPr>
        <w:rPr>
          <w:lang w:val="en-US"/>
        </w:rPr>
      </w:pPr>
      <w:r w:rsidRPr="00C4235B">
        <w:rPr>
          <w:lang w:val="en-US"/>
        </w:rPr>
        <w:t>T</w:t>
      </w:r>
      <w:r w:rsidRPr="00C4235B">
        <w:rPr>
          <w:vertAlign w:val="subscript"/>
          <w:lang w:val="en-US"/>
        </w:rPr>
        <w:t>∆</w:t>
      </w:r>
      <w:r w:rsidRPr="00C4235B">
        <w:rPr>
          <w:lang w:val="en-US"/>
        </w:rPr>
        <w:t xml:space="preserve"> is time for fine time tracking and acquiring full timing information of the target cell. T</w:t>
      </w:r>
      <w:r w:rsidRPr="00C4235B">
        <w:rPr>
          <w:vertAlign w:val="subscript"/>
          <w:lang w:val="en-US"/>
        </w:rPr>
        <w:t>∆</w:t>
      </w:r>
      <w:r w:rsidRPr="00C4235B">
        <w:rPr>
          <w:lang w:val="en-US"/>
        </w:rPr>
        <w:t xml:space="preserve"> = 1</w:t>
      </w:r>
      <w:r w:rsidRPr="00C4235B">
        <w:rPr>
          <w:lang w:val="en-US" w:eastAsia="fr-FR"/>
        </w:rPr>
        <w:t>*</w:t>
      </w:r>
      <w:proofErr w:type="spellStart"/>
      <w:r w:rsidRPr="00C4235B">
        <w:rPr>
          <w:rFonts w:cs="v4.2.0"/>
          <w:lang w:val="en-US" w:eastAsia="zh-CN"/>
        </w:rPr>
        <w:t>Trs</w:t>
      </w:r>
      <w:proofErr w:type="spellEnd"/>
      <w:r w:rsidRPr="00C4235B">
        <w:rPr>
          <w:lang w:val="en-US"/>
        </w:rPr>
        <w:t xml:space="preserve"> </w:t>
      </w:r>
      <w:proofErr w:type="spellStart"/>
      <w:r w:rsidRPr="00C4235B">
        <w:rPr>
          <w:lang w:val="en-US"/>
        </w:rPr>
        <w:t>ms</w:t>
      </w:r>
      <w:proofErr w:type="spellEnd"/>
      <w:r w:rsidR="000E22B9" w:rsidRPr="00C4235B">
        <w:rPr>
          <w:lang w:val="en-US"/>
        </w:rPr>
        <w:t xml:space="preserve">, where </w:t>
      </w:r>
      <w:proofErr w:type="spellStart"/>
      <w:r w:rsidR="000E22B9" w:rsidRPr="00C4235B">
        <w:rPr>
          <w:lang w:val="en-US"/>
        </w:rPr>
        <w:t>Trs</w:t>
      </w:r>
      <w:proofErr w:type="spellEnd"/>
      <w:r w:rsidR="000E22B9" w:rsidRPr="00C4235B">
        <w:rPr>
          <w:lang w:val="en-US"/>
        </w:rPr>
        <w:t xml:space="preserve"> is the SMTC periodicity of the target cell.</w:t>
      </w:r>
      <w:r w:rsidR="00642836" w:rsidRPr="004E66CB">
        <w:rPr>
          <w:lang w:val="en-US"/>
        </w:rPr>
        <w:t xml:space="preserve"> </w:t>
      </w:r>
      <w:r w:rsidR="00642836" w:rsidRPr="004E66CB">
        <w:rPr>
          <w:i/>
          <w:iCs/>
          <w:lang w:val="en-US"/>
        </w:rPr>
        <w:t>T</w:t>
      </w:r>
      <w:r w:rsidR="00C4235B" w:rsidRPr="004E66CB">
        <w:rPr>
          <w:i/>
          <w:iCs/>
          <w:vertAlign w:val="subscript"/>
          <w:lang w:val="en-US"/>
        </w:rPr>
        <w:t>∆</w:t>
      </w:r>
      <w:r w:rsidR="00642836" w:rsidRPr="004E66CB">
        <w:rPr>
          <w:i/>
          <w:iCs/>
          <w:lang w:val="en-US"/>
        </w:rPr>
        <w:t xml:space="preserve"> can be </w:t>
      </w:r>
      <w:r w:rsidR="004E66CB" w:rsidRPr="004E66CB">
        <w:rPr>
          <w:i/>
          <w:iCs/>
          <w:lang w:val="en-US"/>
        </w:rPr>
        <w:t>5-</w:t>
      </w:r>
      <w:r w:rsidR="00642836" w:rsidRPr="004E66CB">
        <w:rPr>
          <w:i/>
          <w:iCs/>
          <w:lang w:val="en-US"/>
        </w:rPr>
        <w:t xml:space="preserve">160 </w:t>
      </w:r>
      <w:proofErr w:type="spellStart"/>
      <w:r w:rsidR="00642836" w:rsidRPr="004E66CB">
        <w:rPr>
          <w:i/>
          <w:iCs/>
          <w:lang w:val="en-US"/>
        </w:rPr>
        <w:t>ms</w:t>
      </w:r>
      <w:r w:rsidR="004E66CB" w:rsidRPr="004E66CB">
        <w:rPr>
          <w:i/>
          <w:iCs/>
          <w:lang w:val="en-US"/>
        </w:rPr>
        <w:t>.</w:t>
      </w:r>
      <w:proofErr w:type="spellEnd"/>
    </w:p>
    <w:p w14:paraId="04A4001B" w14:textId="3E3424CA" w:rsidR="00DE2001" w:rsidRPr="00C4235B" w:rsidRDefault="00DE2001" w:rsidP="004E66CB">
      <w:pPr>
        <w:pStyle w:val="ListParagraph"/>
        <w:numPr>
          <w:ilvl w:val="0"/>
          <w:numId w:val="30"/>
        </w:numPr>
        <w:spacing w:after="240"/>
        <w:rPr>
          <w:lang w:val="en-US"/>
        </w:rPr>
      </w:pPr>
      <w:proofErr w:type="spellStart"/>
      <w:r w:rsidRPr="00C4235B">
        <w:rPr>
          <w:lang w:val="en-US"/>
        </w:rPr>
        <w:t>T</w:t>
      </w:r>
      <w:r w:rsidRPr="00C4235B">
        <w:rPr>
          <w:vertAlign w:val="subscript"/>
          <w:lang w:val="en-US"/>
        </w:rPr>
        <w:t>PSCell</w:t>
      </w:r>
      <w:proofErr w:type="spellEnd"/>
      <w:r w:rsidRPr="00C4235B">
        <w:rPr>
          <w:vertAlign w:val="subscript"/>
          <w:lang w:val="en-US"/>
        </w:rPr>
        <w:t>_ DU</w:t>
      </w:r>
      <w:r w:rsidRPr="00C4235B">
        <w:rPr>
          <w:lang w:val="en-US"/>
        </w:rPr>
        <w:t xml:space="preserve"> is the delay uncertainty in acquiring the first available PRACH occasion in the PSCell. </w:t>
      </w:r>
      <w:proofErr w:type="spellStart"/>
      <w:r w:rsidRPr="00C4235B">
        <w:rPr>
          <w:lang w:val="en-US"/>
        </w:rPr>
        <w:t>T</w:t>
      </w:r>
      <w:r w:rsidRPr="00C4235B">
        <w:rPr>
          <w:vertAlign w:val="subscript"/>
          <w:lang w:val="en-US"/>
        </w:rPr>
        <w:t>PSCell</w:t>
      </w:r>
      <w:proofErr w:type="spellEnd"/>
      <w:r w:rsidRPr="00C4235B">
        <w:rPr>
          <w:vertAlign w:val="subscript"/>
          <w:lang w:val="en-US"/>
        </w:rPr>
        <w:t>_ DU</w:t>
      </w:r>
      <w:r w:rsidRPr="00C4235B">
        <w:rPr>
          <w:lang w:val="en-US"/>
        </w:rPr>
        <w:t xml:space="preserve"> is up to the summation of SSB to PRACH occasion association period and 10 </w:t>
      </w:r>
      <w:proofErr w:type="spellStart"/>
      <w:r w:rsidRPr="00C4235B">
        <w:rPr>
          <w:lang w:val="en-US"/>
        </w:rPr>
        <w:t>ms.</w:t>
      </w:r>
      <w:proofErr w:type="spellEnd"/>
      <w:r w:rsidRPr="00C4235B">
        <w:rPr>
          <w:lang w:val="en-US"/>
        </w:rPr>
        <w:t xml:space="preserve"> SSB to PRACH occasion associated period is defined in Table 8.1-1 of TS 38.213 [3].</w:t>
      </w:r>
      <w:r w:rsidR="00FF3FCA">
        <w:rPr>
          <w:lang w:val="en-US"/>
        </w:rPr>
        <w:t xml:space="preserve"> </w:t>
      </w:r>
      <w:proofErr w:type="spellStart"/>
      <w:r w:rsidR="00FF3FCA" w:rsidRPr="00FF3FCA">
        <w:rPr>
          <w:i/>
          <w:iCs/>
          <w:lang w:val="en-US"/>
        </w:rPr>
        <w:t>T</w:t>
      </w:r>
      <w:r w:rsidR="00FF3FCA" w:rsidRPr="00FF3FCA">
        <w:rPr>
          <w:i/>
          <w:iCs/>
          <w:vertAlign w:val="subscript"/>
          <w:lang w:val="en-US"/>
        </w:rPr>
        <w:t>PSCell</w:t>
      </w:r>
      <w:proofErr w:type="spellEnd"/>
      <w:r w:rsidR="00FF3FCA" w:rsidRPr="00FF3FCA">
        <w:rPr>
          <w:i/>
          <w:iCs/>
          <w:vertAlign w:val="subscript"/>
          <w:lang w:val="en-US"/>
        </w:rPr>
        <w:t xml:space="preserve">_ DU </w:t>
      </w:r>
      <w:r w:rsidR="00FF3FCA" w:rsidRPr="00FF3FCA">
        <w:rPr>
          <w:i/>
          <w:iCs/>
          <w:lang w:val="en-US"/>
        </w:rPr>
        <w:t xml:space="preserve">can be </w:t>
      </w:r>
      <w:r w:rsidR="006D4171">
        <w:rPr>
          <w:i/>
          <w:iCs/>
          <w:lang w:val="en-US"/>
        </w:rPr>
        <w:t xml:space="preserve">around </w:t>
      </w:r>
      <w:r w:rsidR="00FF3FCA" w:rsidRPr="00FF3FCA">
        <w:rPr>
          <w:i/>
          <w:iCs/>
          <w:lang w:val="en-US"/>
        </w:rPr>
        <w:t xml:space="preserve">10 </w:t>
      </w:r>
      <w:proofErr w:type="spellStart"/>
      <w:r w:rsidR="00FF3FCA" w:rsidRPr="00FF3FCA">
        <w:rPr>
          <w:i/>
          <w:iCs/>
          <w:lang w:val="en-US"/>
        </w:rPr>
        <w:t>ms.</w:t>
      </w:r>
      <w:proofErr w:type="spellEnd"/>
    </w:p>
    <w:p w14:paraId="68A99FC6" w14:textId="742C4A98" w:rsidR="003F6F2F" w:rsidRDefault="000E22B9" w:rsidP="00BA2D1B">
      <w:pPr>
        <w:pStyle w:val="BodyText"/>
        <w:rPr>
          <w:lang w:val="en-US"/>
        </w:rPr>
      </w:pPr>
      <w:r>
        <w:rPr>
          <w:lang w:val="en-US"/>
        </w:rPr>
        <w:t xml:space="preserve">As seen in the above formula, </w:t>
      </w:r>
      <w:proofErr w:type="spellStart"/>
      <w:r w:rsidR="00132F13">
        <w:rPr>
          <w:lang w:val="en-US"/>
        </w:rPr>
        <w:t>T</w:t>
      </w:r>
      <w:r w:rsidR="00132F13">
        <w:rPr>
          <w:vertAlign w:val="subscript"/>
          <w:lang w:val="en-US"/>
        </w:rPr>
        <w:t>processing</w:t>
      </w:r>
      <w:proofErr w:type="spellEnd"/>
      <w:r w:rsidR="00132F13">
        <w:rPr>
          <w:lang w:val="en-US"/>
        </w:rPr>
        <w:t xml:space="preserve"> and </w:t>
      </w:r>
      <w:r w:rsidR="00A13718">
        <w:rPr>
          <w:lang w:val="en-US"/>
        </w:rPr>
        <w:t>T</w:t>
      </w:r>
      <w:r w:rsidR="00A13718">
        <w:rPr>
          <w:vertAlign w:val="subscript"/>
          <w:lang w:val="en-US"/>
        </w:rPr>
        <w:t xml:space="preserve">∆ </w:t>
      </w:r>
      <w:r w:rsidR="00132F13">
        <w:rPr>
          <w:lang w:val="en-US"/>
        </w:rPr>
        <w:t>are</w:t>
      </w:r>
      <w:r w:rsidR="00A13718">
        <w:rPr>
          <w:lang w:val="en-US"/>
        </w:rPr>
        <w:t xml:space="preserve"> potentially the </w:t>
      </w:r>
      <w:r w:rsidR="00132F13">
        <w:rPr>
          <w:lang w:val="en-US"/>
        </w:rPr>
        <w:t>main</w:t>
      </w:r>
      <w:r>
        <w:rPr>
          <w:lang w:val="en-US"/>
        </w:rPr>
        <w:t xml:space="preserve"> delay component</w:t>
      </w:r>
      <w:r w:rsidR="00132F13">
        <w:rPr>
          <w:lang w:val="en-US"/>
        </w:rPr>
        <w:t>s.</w:t>
      </w:r>
      <w:r w:rsidR="003B7BA7">
        <w:rPr>
          <w:lang w:val="en-US"/>
        </w:rPr>
        <w:t xml:space="preserve"> </w:t>
      </w:r>
      <w:proofErr w:type="spellStart"/>
      <w:r w:rsidR="003B7BA7">
        <w:rPr>
          <w:lang w:val="en-US"/>
        </w:rPr>
        <w:t>T</w:t>
      </w:r>
      <w:r w:rsidR="003B7BA7">
        <w:rPr>
          <w:vertAlign w:val="subscript"/>
          <w:lang w:val="en-US"/>
        </w:rPr>
        <w:t>processing</w:t>
      </w:r>
      <w:proofErr w:type="spellEnd"/>
      <w:r w:rsidR="00132F13">
        <w:rPr>
          <w:lang w:val="en-US"/>
        </w:rPr>
        <w:t xml:space="preserve"> </w:t>
      </w:r>
      <w:r w:rsidR="003B7BA7">
        <w:rPr>
          <w:lang w:val="en-US"/>
        </w:rPr>
        <w:t xml:space="preserve">is the physical layer processing. </w:t>
      </w:r>
      <w:r w:rsidR="00132F13">
        <w:rPr>
          <w:lang w:val="en-US"/>
        </w:rPr>
        <w:t>T</w:t>
      </w:r>
      <w:r w:rsidR="00132F13">
        <w:rPr>
          <w:vertAlign w:val="subscript"/>
          <w:lang w:val="en-US"/>
        </w:rPr>
        <w:t xml:space="preserve">∆ </w:t>
      </w:r>
      <w:r w:rsidR="00A13718">
        <w:rPr>
          <w:lang w:val="en-US"/>
        </w:rPr>
        <w:t>depend</w:t>
      </w:r>
      <w:r w:rsidR="00132F13">
        <w:rPr>
          <w:lang w:val="en-US"/>
        </w:rPr>
        <w:t>s</w:t>
      </w:r>
      <w:r w:rsidR="00A13718">
        <w:rPr>
          <w:lang w:val="en-US"/>
        </w:rPr>
        <w:t xml:space="preserve"> a </w:t>
      </w:r>
      <w:r w:rsidR="00132F13">
        <w:rPr>
          <w:lang w:val="en-US"/>
        </w:rPr>
        <w:t xml:space="preserve">lot </w:t>
      </w:r>
      <w:r w:rsidR="00A13718">
        <w:rPr>
          <w:lang w:val="en-US"/>
        </w:rPr>
        <w:t>o</w:t>
      </w:r>
      <w:r w:rsidR="00132F13">
        <w:rPr>
          <w:lang w:val="en-US"/>
        </w:rPr>
        <w:t>n</w:t>
      </w:r>
      <w:r w:rsidR="00A13718">
        <w:rPr>
          <w:lang w:val="en-US"/>
        </w:rPr>
        <w:t xml:space="preserve"> the target cell SMTC. For FR2 SCG the SMTC can be up to 160ms in order to save network power. The 160ms SMTC may be considered an extreme case, but should be considered here, since for this case there is perhaps the largest improvement potential for supporting SCG </w:t>
      </w:r>
      <w:r w:rsidR="003F6F2F">
        <w:rPr>
          <w:lang w:val="en-US"/>
        </w:rPr>
        <w:t>(de)activation compared to SCG release/addition.</w:t>
      </w:r>
    </w:p>
    <w:p w14:paraId="7A72EA1B" w14:textId="08A9338D" w:rsidR="00294F0C" w:rsidRDefault="003B7BA7" w:rsidP="00294F0C">
      <w:pPr>
        <w:pStyle w:val="Observation"/>
      </w:pPr>
      <w:bookmarkStart w:id="7" w:name="_Toc54294642"/>
      <w:r>
        <w:rPr>
          <w:lang w:val="en-US"/>
        </w:rPr>
        <w:t xml:space="preserve">The </w:t>
      </w:r>
      <w:r w:rsidR="007C0B50">
        <w:rPr>
          <w:lang w:val="en-US"/>
        </w:rPr>
        <w:t xml:space="preserve">RRC and </w:t>
      </w:r>
      <w:r>
        <w:rPr>
          <w:lang w:val="en-US"/>
        </w:rPr>
        <w:t xml:space="preserve">physical layer processing and </w:t>
      </w:r>
      <w:r w:rsidR="00392BE3">
        <w:rPr>
          <w:lang w:val="en-US"/>
        </w:rPr>
        <w:t>the time required to establish downlink fine synchronization</w:t>
      </w:r>
      <w:r>
        <w:rPr>
          <w:lang w:val="en-US"/>
        </w:rPr>
        <w:t xml:space="preserve"> are</w:t>
      </w:r>
      <w:r w:rsidR="00294F0C">
        <w:rPr>
          <w:lang w:val="en-US"/>
        </w:rPr>
        <w:t xml:space="preserve"> the biggest delay componen</w:t>
      </w:r>
      <w:r w:rsidR="00392BE3">
        <w:rPr>
          <w:lang w:val="en-US"/>
        </w:rPr>
        <w:t>t</w:t>
      </w:r>
      <w:r>
        <w:rPr>
          <w:lang w:val="en-US"/>
        </w:rPr>
        <w:t>s, especially</w:t>
      </w:r>
      <w:r w:rsidR="00392BE3">
        <w:rPr>
          <w:lang w:val="en-US"/>
        </w:rPr>
        <w:t xml:space="preserve"> for FR2 SCG activation, where long SMTC is desirable.</w:t>
      </w:r>
      <w:bookmarkEnd w:id="7"/>
    </w:p>
    <w:p w14:paraId="4179D87C" w14:textId="211D56DB" w:rsidR="00294F0C" w:rsidRDefault="00132F13" w:rsidP="00BA2D1B">
      <w:pPr>
        <w:pStyle w:val="BodyText"/>
        <w:rPr>
          <w:lang w:val="en-US"/>
        </w:rPr>
      </w:pPr>
      <w:r>
        <w:rPr>
          <w:lang w:val="en-US"/>
        </w:rPr>
        <w:t>In the following sections we analyze a bit deeper what impacts</w:t>
      </w:r>
      <w:r w:rsidR="00F10B2B" w:rsidRPr="00F10B2B">
        <w:rPr>
          <w:lang w:val="en-US"/>
        </w:rPr>
        <w:t xml:space="preserve"> </w:t>
      </w:r>
      <w:r w:rsidR="00F10B2B">
        <w:rPr>
          <w:lang w:val="en-US"/>
        </w:rPr>
        <w:t>T</w:t>
      </w:r>
      <w:r w:rsidR="00F10B2B">
        <w:rPr>
          <w:vertAlign w:val="subscript"/>
          <w:lang w:val="en-US"/>
        </w:rPr>
        <w:t>RRC</w:t>
      </w:r>
      <w:r w:rsidR="00F10B2B">
        <w:rPr>
          <w:lang w:val="en-US"/>
        </w:rPr>
        <w:t xml:space="preserve">, </w:t>
      </w:r>
      <w:proofErr w:type="spellStart"/>
      <w:r>
        <w:rPr>
          <w:lang w:val="en-US"/>
        </w:rPr>
        <w:t>T</w:t>
      </w:r>
      <w:r>
        <w:rPr>
          <w:vertAlign w:val="subscript"/>
          <w:lang w:val="en-US"/>
        </w:rPr>
        <w:t>processing</w:t>
      </w:r>
      <w:proofErr w:type="spellEnd"/>
      <w:r>
        <w:rPr>
          <w:lang w:val="en-US"/>
        </w:rPr>
        <w:t xml:space="preserve"> and T</w:t>
      </w:r>
      <w:r>
        <w:rPr>
          <w:vertAlign w:val="subscript"/>
          <w:lang w:val="en-US"/>
        </w:rPr>
        <w:t xml:space="preserve">∆ </w:t>
      </w:r>
      <w:r>
        <w:rPr>
          <w:lang w:val="en-US"/>
        </w:rPr>
        <w:t>in order to understand better how these c</w:t>
      </w:r>
      <w:r w:rsidR="00BA2D1B">
        <w:rPr>
          <w:lang w:val="en-US"/>
        </w:rPr>
        <w:t>ould</w:t>
      </w:r>
      <w:r>
        <w:rPr>
          <w:lang w:val="en-US"/>
        </w:rPr>
        <w:t xml:space="preserve"> be reduced.</w:t>
      </w:r>
    </w:p>
    <w:p w14:paraId="24BC6720" w14:textId="32F4885E" w:rsidR="00B458E2" w:rsidRDefault="00462F8D" w:rsidP="00462F8D">
      <w:pPr>
        <w:pStyle w:val="Heading3"/>
      </w:pPr>
      <w:r>
        <w:t>2.2.1</w:t>
      </w:r>
      <w:r>
        <w:tab/>
        <w:t>DL synchronization</w:t>
      </w:r>
    </w:p>
    <w:p w14:paraId="22A3E1A9" w14:textId="2966B0BE" w:rsidR="008147E0" w:rsidRDefault="00132F13" w:rsidP="00BA2D1B">
      <w:pPr>
        <w:pStyle w:val="BodyText"/>
      </w:pPr>
      <w:r>
        <w:t xml:space="preserve">As </w:t>
      </w:r>
      <w:r w:rsidR="00543171">
        <w:t xml:space="preserve">explained in the above section, establishing the DL fine synchronization is </w:t>
      </w:r>
      <w:r w:rsidR="00E93D1B">
        <w:t>one of the</w:t>
      </w:r>
      <w:r w:rsidR="00543171">
        <w:t xml:space="preserve"> main delay</w:t>
      </w:r>
      <w:r w:rsidR="00E93D1B">
        <w:t xml:space="preserve"> components, especially for FR2 SCG with long SMTC. </w:t>
      </w:r>
      <w:r w:rsidR="00425B2E">
        <w:t xml:space="preserve">This delay component can be </w:t>
      </w:r>
      <w:r w:rsidR="00277278">
        <w:t>eliminate</w:t>
      </w:r>
      <w:r w:rsidR="00425B2E">
        <w:t xml:space="preserve">d by the UE maintaining the DL fine synchronization for deactivated SCG. This could be achieved by e.g. continuing </w:t>
      </w:r>
      <w:r w:rsidR="00582C8D">
        <w:t>beam</w:t>
      </w:r>
      <w:r w:rsidR="00425B2E">
        <w:t xml:space="preserve"> or radio link monitoring as explained below in sections 2.4 and 2.5. </w:t>
      </w:r>
      <w:r w:rsidR="008147E0">
        <w:t xml:space="preserve">It may not be feasible to maintain the DL fine synchronization for long periods of time </w:t>
      </w:r>
      <w:r w:rsidR="00805630">
        <w:t>due to complexity or power consumption reasons</w:t>
      </w:r>
      <w:r w:rsidR="008147E0">
        <w:t xml:space="preserve">, but even without this, maintaining the DL fine synchronization even for a short time can help speed up the SCG activation at least for short durations of SCG </w:t>
      </w:r>
      <w:r w:rsidR="00582C8D">
        <w:t>in</w:t>
      </w:r>
      <w:r w:rsidR="008147E0">
        <w:t xml:space="preserve">activity. This will improve end user performance, as short SCG activation </w:t>
      </w:r>
      <w:r w:rsidR="002045A6">
        <w:t>time</w:t>
      </w:r>
      <w:r w:rsidR="008147E0">
        <w:t xml:space="preserve"> is </w:t>
      </w:r>
      <w:r w:rsidR="00805630">
        <w:t xml:space="preserve">perhaps </w:t>
      </w:r>
      <w:r w:rsidR="008147E0">
        <w:t>most important after short inactivity, as it allows the network to deactivate the SCG also during short inactivit</w:t>
      </w:r>
      <w:r w:rsidR="00805630">
        <w:t>y</w:t>
      </w:r>
      <w:r w:rsidR="008147E0">
        <w:t>, knowing that in case new data arrives requiring the SCG it can quickly be activated again.</w:t>
      </w:r>
    </w:p>
    <w:p w14:paraId="2DB6C6C0" w14:textId="6CC37D1E" w:rsidR="00132F13" w:rsidRDefault="00425B2E" w:rsidP="00BA2D1B">
      <w:pPr>
        <w:pStyle w:val="BodyText"/>
      </w:pPr>
      <w:r>
        <w:t xml:space="preserve">The alternative would be to investigate different means of speeding up the DL fine synchronization, e.g. through the use of temporary RS, as being discussed in RAN1 for </w:t>
      </w:r>
      <w:proofErr w:type="spellStart"/>
      <w:r>
        <w:t>SCell</w:t>
      </w:r>
      <w:proofErr w:type="spellEnd"/>
      <w:r>
        <w:t xml:space="preserve"> activation, though that will require RAN1 to look into also temporary RS for PSCell activation, which is currently not withing the planned Rel-17 scope. </w:t>
      </w:r>
    </w:p>
    <w:p w14:paraId="7B5D3118" w14:textId="3B9F86EF" w:rsidR="00462F8D" w:rsidRDefault="00462F8D" w:rsidP="00C8007B">
      <w:pPr>
        <w:pStyle w:val="Proposal"/>
      </w:pPr>
      <w:bookmarkStart w:id="8" w:name="_Toc54294646"/>
      <w:r>
        <w:t>RAN2 to study</w:t>
      </w:r>
      <w:r w:rsidR="009F4CE5">
        <w:t xml:space="preserve"> the</w:t>
      </w:r>
      <w:r>
        <w:t xml:space="preserve"> feasibility maintaining DL </w:t>
      </w:r>
      <w:r w:rsidR="008147E0">
        <w:t xml:space="preserve">fine </w:t>
      </w:r>
      <w:r>
        <w:t>synchronization for deactivated SCG</w:t>
      </w:r>
      <w:r w:rsidR="008147E0">
        <w:t>, e</w:t>
      </w:r>
      <w:r w:rsidR="002F2FD1">
        <w:t>.</w:t>
      </w:r>
      <w:r w:rsidR="008147E0">
        <w:t>g</w:t>
      </w:r>
      <w:r w:rsidR="002F2FD1">
        <w:t>.</w:t>
      </w:r>
      <w:r w:rsidR="008147E0">
        <w:t xml:space="preserve"> </w:t>
      </w:r>
      <w:r w:rsidR="00425B2E">
        <w:t xml:space="preserve">through </w:t>
      </w:r>
      <w:r w:rsidR="008147E0">
        <w:t>beam or radio link monitoring.</w:t>
      </w:r>
      <w:bookmarkEnd w:id="8"/>
      <w:r w:rsidR="008147E0">
        <w:t xml:space="preserve"> </w:t>
      </w:r>
    </w:p>
    <w:p w14:paraId="4CF1654D" w14:textId="77BFE046" w:rsidR="00462F8D" w:rsidRDefault="00462F8D" w:rsidP="00462F8D">
      <w:pPr>
        <w:pStyle w:val="Heading3"/>
      </w:pPr>
      <w:r>
        <w:t>2.2.2</w:t>
      </w:r>
      <w:r>
        <w:tab/>
        <w:t>Processing times</w:t>
      </w:r>
    </w:p>
    <w:p w14:paraId="60250497" w14:textId="5D52DFEE" w:rsidR="00462F8D" w:rsidRDefault="00F10B2B" w:rsidP="00BA2D1B">
      <w:pPr>
        <w:pStyle w:val="BodyText"/>
      </w:pPr>
      <w:r>
        <w:t>The RRC processing time (</w:t>
      </w:r>
      <w:r>
        <w:rPr>
          <w:lang w:val="en-US"/>
        </w:rPr>
        <w:t>T</w:t>
      </w:r>
      <w:r>
        <w:rPr>
          <w:vertAlign w:val="subscript"/>
          <w:lang w:val="en-US"/>
        </w:rPr>
        <w:t>RRC</w:t>
      </w:r>
      <w:r w:rsidR="009F4CE5">
        <w:t>=16ms)</w:t>
      </w:r>
      <w:r>
        <w:t xml:space="preserve"> could be reduced by defining a </w:t>
      </w:r>
      <w:r w:rsidR="00C9138B">
        <w:t xml:space="preserve">new case for RRC reconfiguration </w:t>
      </w:r>
      <w:r>
        <w:t>for</w:t>
      </w:r>
      <w:r w:rsidR="00C9138B">
        <w:t xml:space="preserve"> SCG activation, incl</w:t>
      </w:r>
      <w:r>
        <w:t>uding</w:t>
      </w:r>
      <w:r w:rsidR="00C9138B">
        <w:t xml:space="preserve"> no or</w:t>
      </w:r>
      <w:r>
        <w:t xml:space="preserve"> </w:t>
      </w:r>
      <w:r w:rsidR="009F4CE5">
        <w:t>limited</w:t>
      </w:r>
      <w:r w:rsidR="00C9138B">
        <w:t xml:space="preserve"> </w:t>
      </w:r>
      <w:r>
        <w:t>changes to the deactivated SCG configuration.</w:t>
      </w:r>
      <w:r w:rsidR="00C9138B">
        <w:t xml:space="preserve"> </w:t>
      </w:r>
      <w:r>
        <w:t xml:space="preserve">In this way it should be possible to </w:t>
      </w:r>
      <w:r w:rsidR="00FF3FCA">
        <w:t xml:space="preserve">define a </w:t>
      </w:r>
      <w:r w:rsidR="00805630">
        <w:t xml:space="preserve">much </w:t>
      </w:r>
      <w:r w:rsidR="00FF3FCA">
        <w:t xml:space="preserve">lower </w:t>
      </w:r>
      <w:r>
        <w:t xml:space="preserve">RRC processing time </w:t>
      </w:r>
      <w:r w:rsidR="00FF3FCA">
        <w:t>for this special case. The actual value will require further discussion</w:t>
      </w:r>
      <w:r>
        <w:t>.</w:t>
      </w:r>
    </w:p>
    <w:p w14:paraId="20C6A491" w14:textId="6DE54A6C" w:rsidR="009F4CE5" w:rsidRDefault="009F4CE5" w:rsidP="009F4CE5">
      <w:pPr>
        <w:pStyle w:val="Proposal"/>
      </w:pPr>
      <w:bookmarkStart w:id="9" w:name="_Toc54294647"/>
      <w:r>
        <w:lastRenderedPageBreak/>
        <w:t>Define a reduced processing time for RRC reconfiguration for activating SCG with limited changes to the SCG configuration.</w:t>
      </w:r>
      <w:bookmarkEnd w:id="9"/>
    </w:p>
    <w:p w14:paraId="39CF5DF7" w14:textId="3E178377" w:rsidR="00462F8D" w:rsidRDefault="009F4CE5" w:rsidP="00BA2D1B">
      <w:pPr>
        <w:pStyle w:val="BodyText"/>
      </w:pPr>
      <w:r>
        <w:t>The physical layer processing (</w:t>
      </w:r>
      <w:proofErr w:type="spellStart"/>
      <w:r>
        <w:rPr>
          <w:lang w:val="en-US"/>
        </w:rPr>
        <w:t>T</w:t>
      </w:r>
      <w:r>
        <w:rPr>
          <w:vertAlign w:val="subscript"/>
          <w:lang w:val="en-US"/>
        </w:rPr>
        <w:t>processing</w:t>
      </w:r>
      <w:proofErr w:type="spellEnd"/>
      <w:r w:rsidR="002F2FD1">
        <w:rPr>
          <w:vertAlign w:val="subscript"/>
          <w:lang w:val="en-US"/>
        </w:rPr>
        <w:t xml:space="preserve"> </w:t>
      </w:r>
      <w:r>
        <w:t>=</w:t>
      </w:r>
      <w:r w:rsidR="002F2FD1">
        <w:t xml:space="preserve"> </w:t>
      </w:r>
      <w:r>
        <w:t>40ms</w:t>
      </w:r>
      <w:r w:rsidR="002F2FD1">
        <w:t xml:space="preserve"> for SCG addition</w:t>
      </w:r>
      <w:r>
        <w:t xml:space="preserve">) currently consists of 20ms for loading software and 20ms for </w:t>
      </w:r>
      <w:proofErr w:type="spellStart"/>
      <w:r w:rsidRPr="009F4CE5">
        <w:rPr>
          <w:lang w:val="fi-FI"/>
        </w:rPr>
        <w:t>initializing</w:t>
      </w:r>
      <w:proofErr w:type="spellEnd"/>
      <w:r w:rsidRPr="009F4CE5">
        <w:rPr>
          <w:lang w:val="fi-FI"/>
        </w:rPr>
        <w:t xml:space="preserve"> data </w:t>
      </w:r>
      <w:proofErr w:type="spellStart"/>
      <w:r w:rsidRPr="009F4CE5">
        <w:rPr>
          <w:lang w:val="fi-FI"/>
        </w:rPr>
        <w:t>structures</w:t>
      </w:r>
      <w:proofErr w:type="spellEnd"/>
      <w:r w:rsidRPr="009F4CE5">
        <w:rPr>
          <w:lang w:val="fi-FI"/>
        </w:rPr>
        <w:t xml:space="preserve"> and </w:t>
      </w:r>
      <w:proofErr w:type="spellStart"/>
      <w:r w:rsidRPr="009F4CE5">
        <w:rPr>
          <w:lang w:val="fi-FI"/>
        </w:rPr>
        <w:t>buffers</w:t>
      </w:r>
      <w:proofErr w:type="spellEnd"/>
      <w:r>
        <w:rPr>
          <w:lang w:val="fi-FI"/>
        </w:rPr>
        <w:t>. For the software</w:t>
      </w:r>
      <w:r w:rsidR="00C8007B">
        <w:rPr>
          <w:lang w:val="fi-FI"/>
        </w:rPr>
        <w:t xml:space="preserve"> loading</w:t>
      </w:r>
      <w:r>
        <w:rPr>
          <w:lang w:val="fi-FI"/>
        </w:rPr>
        <w:t>, it should be realistic to assume that it can be performed during SCG addition, and that the UE can keep the software loaded</w:t>
      </w:r>
      <w:r w:rsidR="00C8007B">
        <w:rPr>
          <w:lang w:val="fi-FI"/>
        </w:rPr>
        <w:t xml:space="preserve"> for the deactivated SCG</w:t>
      </w:r>
      <w:r>
        <w:rPr>
          <w:lang w:val="fi-FI"/>
        </w:rPr>
        <w:t>.</w:t>
      </w:r>
      <w:r w:rsidR="00C8007B">
        <w:rPr>
          <w:lang w:val="fi-FI"/>
        </w:rPr>
        <w:t xml:space="preserve"> There would then be no need to reload the software during SCG activation.</w:t>
      </w:r>
      <w:r>
        <w:rPr>
          <w:lang w:val="fi-FI"/>
        </w:rPr>
        <w:t xml:space="preserve"> </w:t>
      </w:r>
      <w:proofErr w:type="spellStart"/>
      <w:r>
        <w:rPr>
          <w:lang w:val="fi-FI"/>
        </w:rPr>
        <w:t>This</w:t>
      </w:r>
      <w:proofErr w:type="spellEnd"/>
      <w:r>
        <w:rPr>
          <w:lang w:val="fi-FI"/>
        </w:rPr>
        <w:t xml:space="preserve"> </w:t>
      </w:r>
      <w:proofErr w:type="spellStart"/>
      <w:r>
        <w:rPr>
          <w:lang w:val="fi-FI"/>
        </w:rPr>
        <w:t>would</w:t>
      </w:r>
      <w:proofErr w:type="spellEnd"/>
      <w:r>
        <w:rPr>
          <w:lang w:val="fi-FI"/>
        </w:rPr>
        <w:t xml:space="preserve"> </w:t>
      </w:r>
      <w:proofErr w:type="spellStart"/>
      <w:r>
        <w:rPr>
          <w:lang w:val="fi-FI"/>
        </w:rPr>
        <w:t>save</w:t>
      </w:r>
      <w:proofErr w:type="spellEnd"/>
      <w:r>
        <w:rPr>
          <w:lang w:val="fi-FI"/>
        </w:rPr>
        <w:t xml:space="preserve"> 20ms </w:t>
      </w:r>
      <w:proofErr w:type="spellStart"/>
      <w:r>
        <w:rPr>
          <w:lang w:val="fi-FI"/>
        </w:rPr>
        <w:t>from</w:t>
      </w:r>
      <w:proofErr w:type="spellEnd"/>
      <w:r>
        <w:t xml:space="preserve"> </w:t>
      </w:r>
      <w:proofErr w:type="spellStart"/>
      <w:r>
        <w:rPr>
          <w:lang w:val="en-US"/>
        </w:rPr>
        <w:t>T</w:t>
      </w:r>
      <w:r>
        <w:rPr>
          <w:vertAlign w:val="subscript"/>
          <w:lang w:val="en-US"/>
        </w:rPr>
        <w:t>processing</w:t>
      </w:r>
      <w:proofErr w:type="spellEnd"/>
      <w:r>
        <w:t>.</w:t>
      </w:r>
      <w:r w:rsidR="00462F8D">
        <w:t xml:space="preserve"> </w:t>
      </w:r>
      <w:r w:rsidR="003964DE">
        <w:t xml:space="preserve">This is already applied in RAN4 for intra </w:t>
      </w:r>
      <w:r w:rsidR="002F2FD1">
        <w:t xml:space="preserve">frequency range </w:t>
      </w:r>
      <w:r w:rsidR="003964DE">
        <w:t xml:space="preserve">PSCell change. </w:t>
      </w:r>
      <w:r>
        <w:t xml:space="preserve">For the </w:t>
      </w:r>
      <w:r w:rsidR="003964DE">
        <w:t>initiali</w:t>
      </w:r>
      <w:r w:rsidR="00DB768D">
        <w:t>z</w:t>
      </w:r>
      <w:r w:rsidR="003964DE">
        <w:t>ation of data structures and buffers, it should be possible for UEs to keep the memory initialized</w:t>
      </w:r>
      <w:r w:rsidR="00DB768D">
        <w:t xml:space="preserve"> for deactivated SCG</w:t>
      </w:r>
      <w:r w:rsidR="003964DE">
        <w:t xml:space="preserve">, which is already the case for </w:t>
      </w:r>
      <w:proofErr w:type="spellStart"/>
      <w:r w:rsidR="003964DE">
        <w:t>SCell</w:t>
      </w:r>
      <w:proofErr w:type="spellEnd"/>
      <w:r w:rsidR="003964DE">
        <w:t xml:space="preserve"> activation where the cell or frequency is not changed. So, if there is no mobility for the deactivated SCG, it should be possible to assume </w:t>
      </w:r>
      <w:proofErr w:type="spellStart"/>
      <w:r w:rsidR="003964DE">
        <w:rPr>
          <w:lang w:val="en-US"/>
        </w:rPr>
        <w:t>T</w:t>
      </w:r>
      <w:r w:rsidR="003964DE">
        <w:rPr>
          <w:vertAlign w:val="subscript"/>
          <w:lang w:val="en-US"/>
        </w:rPr>
        <w:t>processing</w:t>
      </w:r>
      <w:proofErr w:type="spellEnd"/>
      <w:r w:rsidR="003964DE">
        <w:t xml:space="preserve"> = 0ms, but this needs to be confirmed with RAN4. From performance point it would be good, since it would shave off another 40ms from the SCG activation time, which will help in increasing the MCG offloading potential, see </w:t>
      </w:r>
      <w:r w:rsidR="003964DE">
        <w:fldChar w:fldCharType="begin"/>
      </w:r>
      <w:r w:rsidR="003964DE">
        <w:instrText xml:space="preserve"> REF _Ref54040279 \h </w:instrText>
      </w:r>
      <w:r w:rsidR="003964DE">
        <w:fldChar w:fldCharType="separate"/>
      </w:r>
      <w:r w:rsidR="003964DE">
        <w:t xml:space="preserve">Figure </w:t>
      </w:r>
      <w:r w:rsidR="003964DE">
        <w:rPr>
          <w:noProof/>
        </w:rPr>
        <w:t>2</w:t>
      </w:r>
      <w:r w:rsidR="003964DE">
        <w:fldChar w:fldCharType="end"/>
      </w:r>
      <w:r w:rsidR="003964DE">
        <w:t>.</w:t>
      </w:r>
      <w:r w:rsidR="00FF3FCA">
        <w:t xml:space="preserve"> We provide a draft LS in Annex A.</w:t>
      </w:r>
    </w:p>
    <w:p w14:paraId="02AC2F98" w14:textId="42978A20" w:rsidR="00462F8D" w:rsidRDefault="00BF4C5D" w:rsidP="00462F8D">
      <w:pPr>
        <w:pStyle w:val="Proposal"/>
      </w:pPr>
      <w:bookmarkStart w:id="10" w:name="_Toc54294648"/>
      <w:r>
        <w:t xml:space="preserve">Send LS to RAN4 to </w:t>
      </w:r>
      <w:r w:rsidR="003964DE">
        <w:t>confirm whether</w:t>
      </w:r>
      <w:r w:rsidR="003D4EB6">
        <w:t xml:space="preserve"> </w:t>
      </w:r>
      <w:proofErr w:type="spellStart"/>
      <w:r w:rsidR="003D4EB6">
        <w:rPr>
          <w:lang w:val="en-US"/>
        </w:rPr>
        <w:t>T</w:t>
      </w:r>
      <w:r w:rsidR="003D4EB6">
        <w:rPr>
          <w:vertAlign w:val="subscript"/>
          <w:lang w:val="en-US"/>
        </w:rPr>
        <w:t>processing</w:t>
      </w:r>
      <w:proofErr w:type="spellEnd"/>
      <w:r w:rsidR="003D4EB6">
        <w:t xml:space="preserve"> = 0ms</w:t>
      </w:r>
      <w:r w:rsidR="003964DE">
        <w:t xml:space="preserve"> </w:t>
      </w:r>
      <w:r w:rsidR="003D4EB6">
        <w:t xml:space="preserve">could be assumed for </w:t>
      </w:r>
      <w:r>
        <w:t>SCG activation</w:t>
      </w:r>
      <w:r w:rsidR="003D4EB6">
        <w:t>, without cell or frequency change</w:t>
      </w:r>
      <w:r w:rsidR="00462F8D">
        <w:t>.</w:t>
      </w:r>
      <w:bookmarkEnd w:id="10"/>
    </w:p>
    <w:p w14:paraId="08B6BC12" w14:textId="71A1A965" w:rsidR="00BF4C5D" w:rsidRDefault="00BF4C5D" w:rsidP="00BA2D1B">
      <w:pPr>
        <w:pStyle w:val="BodyText"/>
        <w:rPr>
          <w:lang w:val="en-US"/>
        </w:rPr>
      </w:pPr>
      <w:r>
        <w:rPr>
          <w:lang w:val="en-US"/>
        </w:rPr>
        <w:t xml:space="preserve">In </w:t>
      </w:r>
      <w:r>
        <w:rPr>
          <w:lang w:val="en-US"/>
        </w:rPr>
        <w:fldChar w:fldCharType="begin"/>
      </w:r>
      <w:r>
        <w:rPr>
          <w:lang w:val="en-US"/>
        </w:rPr>
        <w:instrText xml:space="preserve"> REF _Ref53455204 \h </w:instrText>
      </w:r>
      <w:r>
        <w:rPr>
          <w:lang w:val="en-US"/>
        </w:rPr>
      </w:r>
      <w:r>
        <w:rPr>
          <w:lang w:val="en-US"/>
        </w:rPr>
        <w:fldChar w:fldCharType="separate"/>
      </w:r>
      <w:r>
        <w:t xml:space="preserve">Figure </w:t>
      </w:r>
      <w:r>
        <w:rPr>
          <w:noProof/>
        </w:rPr>
        <w:t>3</w:t>
      </w:r>
      <w:r>
        <w:rPr>
          <w:lang w:val="en-US"/>
        </w:rPr>
        <w:fldChar w:fldCharType="end"/>
      </w:r>
      <w:r>
        <w:rPr>
          <w:lang w:val="en-US"/>
        </w:rPr>
        <w:t xml:space="preserve">, the total activation delay according to the above formula is shown for the FR2 case with 160ms SMTC. The baseline bar shows the delay without improvements compared to SCG addition. As can be seen, the main part of the SCG activation </w:t>
      </w:r>
      <w:r w:rsidR="002045A6">
        <w:rPr>
          <w:lang w:val="en-US"/>
        </w:rPr>
        <w:t>time</w:t>
      </w:r>
      <w:r w:rsidR="00E778A3">
        <w:rPr>
          <w:lang w:val="en-US"/>
        </w:rPr>
        <w:t xml:space="preserve"> is</w:t>
      </w:r>
      <w:r>
        <w:rPr>
          <w:lang w:val="en-US"/>
        </w:rPr>
        <w:t xml:space="preserve"> consumed to establish DL synchronization and processing on L3 and L1</w:t>
      </w:r>
      <w:r w:rsidR="00E778A3">
        <w:rPr>
          <w:lang w:val="en-US"/>
        </w:rPr>
        <w:t xml:space="preserve"> and that by addressing these the SCG activation time can be reduced significantly, which will help to increase the offloading potential of MCG, see </w:t>
      </w:r>
      <w:r w:rsidR="00E778A3">
        <w:rPr>
          <w:lang w:val="en-US"/>
        </w:rPr>
        <w:fldChar w:fldCharType="begin"/>
      </w:r>
      <w:r w:rsidR="00E778A3">
        <w:rPr>
          <w:lang w:val="en-US"/>
        </w:rPr>
        <w:instrText xml:space="preserve"> REF _Ref54040279 \h </w:instrText>
      </w:r>
      <w:r w:rsidR="00E778A3">
        <w:rPr>
          <w:lang w:val="en-US"/>
        </w:rPr>
      </w:r>
      <w:r w:rsidR="00E778A3">
        <w:rPr>
          <w:lang w:val="en-US"/>
        </w:rPr>
        <w:fldChar w:fldCharType="separate"/>
      </w:r>
      <w:r w:rsidR="00E778A3">
        <w:t xml:space="preserve">Figure </w:t>
      </w:r>
      <w:r w:rsidR="00E778A3">
        <w:rPr>
          <w:noProof/>
        </w:rPr>
        <w:t>2</w:t>
      </w:r>
      <w:r w:rsidR="00E778A3">
        <w:rPr>
          <w:lang w:val="en-US"/>
        </w:rPr>
        <w:fldChar w:fldCharType="end"/>
      </w:r>
      <w:r>
        <w:rPr>
          <w:lang w:val="en-US"/>
        </w:rPr>
        <w:t xml:space="preserve">. </w:t>
      </w:r>
    </w:p>
    <w:p w14:paraId="2DA0481A" w14:textId="77777777" w:rsidR="00FF3FCA" w:rsidRDefault="00FF3FCA" w:rsidP="00BA2D1B">
      <w:pPr>
        <w:pStyle w:val="BodyText"/>
        <w:rPr>
          <w:lang w:val="en-US"/>
        </w:rPr>
      </w:pPr>
    </w:p>
    <w:p w14:paraId="7D500F54" w14:textId="4B99C2A0" w:rsidR="005E62EF" w:rsidRDefault="00A036F9" w:rsidP="0034013D">
      <w:pPr>
        <w:jc w:val="center"/>
      </w:pPr>
      <w:r>
        <w:rPr>
          <w:noProof/>
        </w:rPr>
        <w:drawing>
          <wp:inline distT="0" distB="0" distL="0" distR="0" wp14:anchorId="2CE24DA5" wp14:editId="1571146C">
            <wp:extent cx="3995405" cy="2991882"/>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11753" cy="3004124"/>
                    </a:xfrm>
                    <a:prstGeom prst="rect">
                      <a:avLst/>
                    </a:prstGeom>
                    <a:noFill/>
                  </pic:spPr>
                </pic:pic>
              </a:graphicData>
            </a:graphic>
          </wp:inline>
        </w:drawing>
      </w:r>
    </w:p>
    <w:p w14:paraId="5D6FE2EA" w14:textId="346792CA" w:rsidR="005E62EF" w:rsidRDefault="005E62EF" w:rsidP="0034013D">
      <w:pPr>
        <w:pStyle w:val="Caption"/>
        <w:jc w:val="center"/>
      </w:pPr>
      <w:bookmarkStart w:id="11" w:name="_Ref53455204"/>
      <w:r>
        <w:t xml:space="preserve">Figure </w:t>
      </w:r>
      <w:r w:rsidR="00416441">
        <w:fldChar w:fldCharType="begin"/>
      </w:r>
      <w:r w:rsidR="00416441">
        <w:instrText xml:space="preserve"> SEQ Figure \* ARABIC </w:instrText>
      </w:r>
      <w:r w:rsidR="00416441">
        <w:fldChar w:fldCharType="separate"/>
      </w:r>
      <w:r w:rsidR="00103862">
        <w:rPr>
          <w:noProof/>
        </w:rPr>
        <w:t>4</w:t>
      </w:r>
      <w:r w:rsidR="00416441">
        <w:rPr>
          <w:noProof/>
        </w:rPr>
        <w:fldChar w:fldCharType="end"/>
      </w:r>
      <w:bookmarkEnd w:id="11"/>
      <w:r>
        <w:t>: Factors affecting SCG activation time</w:t>
      </w:r>
    </w:p>
    <w:p w14:paraId="6E549897" w14:textId="7BFC7560" w:rsidR="005E62EF" w:rsidRDefault="005E62EF" w:rsidP="005E62EF">
      <w:pPr>
        <w:rPr>
          <w:lang w:eastAsia="en-GB"/>
        </w:rPr>
      </w:pPr>
    </w:p>
    <w:p w14:paraId="1F2FCF66" w14:textId="0618387A" w:rsidR="00B17D58" w:rsidRDefault="00B17D58" w:rsidP="00BA2D1B">
      <w:pPr>
        <w:pStyle w:val="BodyText"/>
      </w:pPr>
      <w:r>
        <w:t>The SCG activation time analysis so far included only the time until PRACH transmission occasion. On top of this comes either Random Access procedure or</w:t>
      </w:r>
      <w:r w:rsidR="00C13C37">
        <w:t>,</w:t>
      </w:r>
      <w:r w:rsidR="00B00228">
        <w:t xml:space="preserve"> </w:t>
      </w:r>
      <w:r w:rsidR="00C13C37">
        <w:t>in case TA timer has not expired, a</w:t>
      </w:r>
      <w:r>
        <w:t xml:space="preserve"> Scheduling Request.</w:t>
      </w:r>
    </w:p>
    <w:p w14:paraId="6A86D9F0" w14:textId="3601B5F1" w:rsidR="0090601B" w:rsidRPr="005063E3" w:rsidRDefault="00B00228" w:rsidP="00B00228">
      <w:pPr>
        <w:pStyle w:val="Observation"/>
      </w:pPr>
      <w:bookmarkStart w:id="12" w:name="_Toc54294643"/>
      <w:r>
        <w:t>In case TA timer has not expired, SCG activation may not require random access.</w:t>
      </w:r>
      <w:bookmarkEnd w:id="12"/>
      <w:r>
        <w:rPr>
          <w:rStyle w:val="CommentReference"/>
          <w:rFonts w:ascii="Times New Roman" w:hAnsi="Times New Roman"/>
          <w:b w:val="0"/>
          <w:bCs w:val="0"/>
        </w:rPr>
        <w:t xml:space="preserve"> </w:t>
      </w:r>
    </w:p>
    <w:p w14:paraId="5263B29D" w14:textId="6CEB028D" w:rsidR="0090601B" w:rsidRDefault="0090601B" w:rsidP="0090601B">
      <w:pPr>
        <w:pStyle w:val="Heading2"/>
      </w:pPr>
      <w:r>
        <w:t>2.3</w:t>
      </w:r>
      <w:r>
        <w:tab/>
      </w:r>
      <w:r w:rsidR="00170EC9">
        <w:t>RRM</w:t>
      </w:r>
      <w:r w:rsidR="00356E34">
        <w:t xml:space="preserve"> </w:t>
      </w:r>
      <w:r w:rsidR="00D97217">
        <w:t xml:space="preserve">and </w:t>
      </w:r>
      <w:r w:rsidR="00110F59">
        <w:t xml:space="preserve">MCG/SCG </w:t>
      </w:r>
      <w:r w:rsidR="00D97217">
        <w:t>mobility</w:t>
      </w:r>
    </w:p>
    <w:p w14:paraId="77290A2C" w14:textId="445C6F97" w:rsidR="003169C6" w:rsidRDefault="00F436A9" w:rsidP="00F436A9">
      <w:pPr>
        <w:pStyle w:val="BodyText"/>
      </w:pPr>
      <w:r>
        <w:t>In the email discussion</w:t>
      </w:r>
      <w:r w:rsidR="006B5163">
        <w:t xml:space="preserve"> </w:t>
      </w:r>
      <w:r w:rsidR="006B5163">
        <w:fldChar w:fldCharType="begin"/>
      </w:r>
      <w:r w:rsidR="006B5163">
        <w:instrText xml:space="preserve"> REF _Ref53453896 \n \h </w:instrText>
      </w:r>
      <w:r w:rsidR="006B5163">
        <w:fldChar w:fldCharType="separate"/>
      </w:r>
      <w:r w:rsidR="006B5163">
        <w:t>[1]</w:t>
      </w:r>
      <w:r w:rsidR="006B5163">
        <w:fldChar w:fldCharType="end"/>
      </w:r>
      <w:r>
        <w:t xml:space="preserve"> companies provide</w:t>
      </w:r>
      <w:r w:rsidR="006B5163">
        <w:t>d</w:t>
      </w:r>
      <w:r>
        <w:t xml:space="preserve"> input regarding whether RRM measurements should be performed while the SCG is deactivated. In legacy operation</w:t>
      </w:r>
      <w:r w:rsidR="001F3C1F">
        <w:t xml:space="preserve"> for a UE operating in MR-DC</w:t>
      </w:r>
      <w:r>
        <w:t>,</w:t>
      </w:r>
      <w:r w:rsidR="003169C6">
        <w:t xml:space="preserve"> the UE maintains two independent measConfig(s):</w:t>
      </w:r>
    </w:p>
    <w:p w14:paraId="31AE5A30" w14:textId="42EF1668" w:rsidR="003169C6" w:rsidRDefault="003169C6" w:rsidP="003169C6">
      <w:pPr>
        <w:pStyle w:val="BodyText"/>
        <w:numPr>
          <w:ilvl w:val="0"/>
          <w:numId w:val="25"/>
        </w:numPr>
      </w:pPr>
      <w:r>
        <w:t>a measConfig, associated with MCG</w:t>
      </w:r>
      <w:r w:rsidR="00EB5935">
        <w:t xml:space="preserve"> (MCG measConfig)</w:t>
      </w:r>
      <w:r>
        <w:t xml:space="preserve">, that is included in the </w:t>
      </w:r>
      <w:r w:rsidRPr="003169C6">
        <w:rPr>
          <w:i/>
          <w:iCs/>
        </w:rPr>
        <w:t>RRCReconfiguration</w:t>
      </w:r>
      <w:r>
        <w:t xml:space="preserve"> message received via SRB1; and</w:t>
      </w:r>
    </w:p>
    <w:p w14:paraId="7D2722C1" w14:textId="5CE1829B" w:rsidR="003169C6" w:rsidRDefault="003169C6" w:rsidP="003169C6">
      <w:pPr>
        <w:pStyle w:val="BodyText"/>
        <w:numPr>
          <w:ilvl w:val="0"/>
          <w:numId w:val="25"/>
        </w:numPr>
      </w:pPr>
      <w:r>
        <w:lastRenderedPageBreak/>
        <w:t>a measConfig, associated with SCG</w:t>
      </w:r>
      <w:r w:rsidR="00EB5935">
        <w:t xml:space="preserve"> (SCG measConfig)</w:t>
      </w:r>
      <w:r>
        <w:t xml:space="preserve">, that is included in the </w:t>
      </w:r>
      <w:r w:rsidRPr="003169C6">
        <w:rPr>
          <w:i/>
          <w:iCs/>
        </w:rPr>
        <w:t>RRCReconfiguration</w:t>
      </w:r>
      <w:r>
        <w:t xml:space="preserve"> message received via SRB3, or, alternatively, included within a RRCReconfiguration message embedded in a RRCReconfiguration message received via SRB1.</w:t>
      </w:r>
    </w:p>
    <w:p w14:paraId="2014E308" w14:textId="17F57ACC" w:rsidR="008810D3" w:rsidRDefault="003169C6" w:rsidP="00F436A9">
      <w:pPr>
        <w:pStyle w:val="BodyText"/>
      </w:pPr>
      <w:r>
        <w:t xml:space="preserve">Based on these, the </w:t>
      </w:r>
      <w:r w:rsidR="001F3C1F">
        <w:t xml:space="preserve">UE is </w:t>
      </w:r>
      <w:r w:rsidR="00F436A9">
        <w:t xml:space="preserve">required to perform serving cell measurements </w:t>
      </w:r>
      <w:r>
        <w:t xml:space="preserve">on MCG (at least RSRP and RSRQ </w:t>
      </w:r>
      <w:proofErr w:type="spellStart"/>
      <w:r>
        <w:t>PCell</w:t>
      </w:r>
      <w:proofErr w:type="spellEnd"/>
      <w:r>
        <w:t xml:space="preserve"> and MCG’s </w:t>
      </w:r>
      <w:proofErr w:type="spellStart"/>
      <w:r>
        <w:t>S</w:t>
      </w:r>
      <w:r w:rsidR="00FF3FCA">
        <w:t>c</w:t>
      </w:r>
      <w:r>
        <w:t>ell</w:t>
      </w:r>
      <w:proofErr w:type="spellEnd"/>
      <w:r>
        <w:t xml:space="preserve"> measurements, according to serving cell MO)</w:t>
      </w:r>
      <w:r w:rsidR="00EB5935">
        <w:t>, and non-serving cell measurements, t</w:t>
      </w:r>
      <w:r w:rsidR="006B5163">
        <w:t>o</w:t>
      </w:r>
      <w:r w:rsidR="00EB5935">
        <w:t xml:space="preserve"> support MCG related operations such as MCG handovers, load balancing, setup/release and/or activation/deactivation of MCG </w:t>
      </w:r>
      <w:proofErr w:type="spellStart"/>
      <w:r w:rsidR="00EB5935">
        <w:t>S</w:t>
      </w:r>
      <w:r w:rsidR="00FF3FCA">
        <w:t>c</w:t>
      </w:r>
      <w:r w:rsidR="00EB5935">
        <w:t>ell</w:t>
      </w:r>
      <w:proofErr w:type="spellEnd"/>
      <w:r w:rsidR="00EB5935">
        <w:t>(s).</w:t>
      </w:r>
      <w:r w:rsidR="008810D3">
        <w:t xml:space="preserve"> </w:t>
      </w:r>
      <w:r w:rsidR="00EB5935">
        <w:t>As the same operations of the MCG should be support</w:t>
      </w:r>
      <w:r w:rsidR="006B5163">
        <w:t>ed</w:t>
      </w:r>
      <w:r w:rsidR="00EB5935">
        <w:t xml:space="preserve"> while the SCG is deactivated, it seems to be a </w:t>
      </w:r>
      <w:r w:rsidR="008810D3">
        <w:t>common understanding among companies that these measurements are not affected by the reception of the command for the SCG to enter this dormant mode of operation.</w:t>
      </w:r>
      <w:r w:rsidR="007434E1">
        <w:t xml:space="preserve"> This is also the proposed conclusion in the email discussion </w:t>
      </w:r>
      <w:r w:rsidR="007434E1">
        <w:fldChar w:fldCharType="begin"/>
      </w:r>
      <w:r w:rsidR="007434E1">
        <w:instrText xml:space="preserve"> REF _Ref53453896 \n \h </w:instrText>
      </w:r>
      <w:r w:rsidR="007434E1">
        <w:fldChar w:fldCharType="separate"/>
      </w:r>
      <w:r w:rsidR="007434E1">
        <w:t>[1]</w:t>
      </w:r>
      <w:r w:rsidR="007434E1">
        <w:fldChar w:fldCharType="end"/>
      </w:r>
      <w:r w:rsidR="007434E1">
        <w:t>.</w:t>
      </w:r>
    </w:p>
    <w:p w14:paraId="107FF8CA" w14:textId="22229DDB" w:rsidR="008810D3" w:rsidRDefault="008810D3" w:rsidP="00085D1F">
      <w:pPr>
        <w:pStyle w:val="Observation"/>
      </w:pPr>
      <w:bookmarkStart w:id="13" w:name="_Toc54294644"/>
      <w:r>
        <w:t xml:space="preserve">If SCG </w:t>
      </w:r>
      <w:r w:rsidR="00504E22">
        <w:t>is deactivated</w:t>
      </w:r>
      <w:r>
        <w:t xml:space="preserve">, </w:t>
      </w:r>
      <w:r w:rsidR="006B0262">
        <w:t>UE</w:t>
      </w:r>
      <w:r>
        <w:t xml:space="preserve"> continues to </w:t>
      </w:r>
      <w:r w:rsidR="00504E22">
        <w:t xml:space="preserve">at least </w:t>
      </w:r>
      <w:r>
        <w:t>perform RRM measurements according to MCG measConfig.</w:t>
      </w:r>
      <w:bookmarkEnd w:id="13"/>
    </w:p>
    <w:p w14:paraId="7D56D013" w14:textId="77777777" w:rsidR="008810D3" w:rsidRDefault="008810D3" w:rsidP="00F436A9">
      <w:pPr>
        <w:pStyle w:val="BodyText"/>
      </w:pPr>
    </w:p>
    <w:p w14:paraId="65EFB001" w14:textId="1D3E7567" w:rsidR="003169C6" w:rsidRDefault="001F0428" w:rsidP="00F436A9">
      <w:pPr>
        <w:pStyle w:val="BodyText"/>
      </w:pPr>
      <w:r>
        <w:t xml:space="preserve">An </w:t>
      </w:r>
      <w:r w:rsidR="00EB5935">
        <w:t>open issue</w:t>
      </w:r>
      <w:r w:rsidR="00F413AF">
        <w:t xml:space="preserve"> </w:t>
      </w:r>
      <w:r>
        <w:t>may be</w:t>
      </w:r>
      <w:r w:rsidR="00F413AF">
        <w:t xml:space="preserve"> to which extent the UE should perform measurement according to the SCG measConfig.</w:t>
      </w:r>
      <w:r w:rsidR="003169C6">
        <w:t xml:space="preserve"> </w:t>
      </w:r>
      <w:r w:rsidR="00F413AF">
        <w:t xml:space="preserve">i.e. serving cell measurements like </w:t>
      </w:r>
      <w:r w:rsidR="00F436A9">
        <w:t xml:space="preserve">PSCell and the SCG’s </w:t>
      </w:r>
      <w:proofErr w:type="spellStart"/>
      <w:r w:rsidR="00F436A9">
        <w:t>S</w:t>
      </w:r>
      <w:r w:rsidR="00FF3FCA">
        <w:t>c</w:t>
      </w:r>
      <w:r w:rsidR="00F436A9">
        <w:t>ell</w:t>
      </w:r>
      <w:proofErr w:type="spellEnd"/>
      <w:r w:rsidR="00F436A9">
        <w:t>(s)</w:t>
      </w:r>
      <w:r w:rsidR="00F413AF">
        <w:t xml:space="preserve"> measurements, </w:t>
      </w:r>
      <w:r w:rsidR="00F436A9">
        <w:t xml:space="preserve">and non-serving cell measurements according to the </w:t>
      </w:r>
      <w:proofErr w:type="spellStart"/>
      <w:r w:rsidR="00F436A9">
        <w:t>measId</w:t>
      </w:r>
      <w:proofErr w:type="spellEnd"/>
      <w:r w:rsidR="00F436A9">
        <w:t xml:space="preserve">(s) (and associated </w:t>
      </w:r>
      <w:proofErr w:type="spellStart"/>
      <w:r w:rsidR="00F436A9">
        <w:t>measObjects</w:t>
      </w:r>
      <w:proofErr w:type="spellEnd"/>
      <w:r w:rsidR="00F436A9">
        <w:t xml:space="preserve"> and </w:t>
      </w:r>
      <w:proofErr w:type="spellStart"/>
      <w:r w:rsidR="00F436A9">
        <w:t>reportConfig</w:t>
      </w:r>
      <w:proofErr w:type="spellEnd"/>
      <w:r w:rsidR="00F436A9">
        <w:t xml:space="preserve">(s)) within </w:t>
      </w:r>
      <w:r w:rsidR="003169C6">
        <w:t xml:space="preserve">the </w:t>
      </w:r>
      <w:proofErr w:type="spellStart"/>
      <w:r w:rsidR="003169C6">
        <w:t>measConfig</w:t>
      </w:r>
      <w:proofErr w:type="spellEnd"/>
      <w:r w:rsidR="003169C6">
        <w:t xml:space="preserve"> associated with the SCG.</w:t>
      </w:r>
      <w:r w:rsidR="00F413AF">
        <w:t xml:space="preserve"> </w:t>
      </w:r>
      <w:r w:rsidR="00F7437D">
        <w:t xml:space="preserve">The SCG measurements to be supported </w:t>
      </w:r>
      <w:r w:rsidR="00F413AF">
        <w:t>would depend</w:t>
      </w:r>
      <w:r w:rsidR="00F7437D">
        <w:t xml:space="preserve"> </w:t>
      </w:r>
      <w:r w:rsidR="00F413AF">
        <w:t xml:space="preserve">on </w:t>
      </w:r>
      <w:r w:rsidR="00F7437D">
        <w:t>the importance of supporting certain use cases compared to the importance of reducing power savings</w:t>
      </w:r>
      <w:r w:rsidR="00F413AF">
        <w:t>.</w:t>
      </w:r>
    </w:p>
    <w:p w14:paraId="692FB2ED" w14:textId="77777777" w:rsidR="00504E22" w:rsidRDefault="00504E22" w:rsidP="00F436A9">
      <w:pPr>
        <w:pStyle w:val="BodyText"/>
      </w:pPr>
      <w:r>
        <w:t xml:space="preserve">For the sake of the </w:t>
      </w:r>
      <w:r w:rsidR="007D5BCA">
        <w:t>trade-off</w:t>
      </w:r>
      <w:r>
        <w:t xml:space="preserve"> between power savings and efficient procedures while the SCG is deactivated</w:t>
      </w:r>
      <w:r w:rsidR="00547E4A">
        <w:t>,</w:t>
      </w:r>
      <w:r>
        <w:t xml:space="preserve"> RAN2 should consider the discussion of SCG’s measurement to be supported in a priority order. </w:t>
      </w:r>
    </w:p>
    <w:p w14:paraId="1F941BA1" w14:textId="77777777" w:rsidR="004E3A7D" w:rsidRDefault="004E3A7D" w:rsidP="00F436A9">
      <w:pPr>
        <w:pStyle w:val="BodyText"/>
        <w:rPr>
          <w:i/>
          <w:iCs/>
          <w:u w:val="single"/>
        </w:rPr>
      </w:pPr>
    </w:p>
    <w:p w14:paraId="477B30AF" w14:textId="42DA7EE2" w:rsidR="00504E22" w:rsidRPr="004E3A7D" w:rsidRDefault="000B479A" w:rsidP="00F436A9">
      <w:pPr>
        <w:pStyle w:val="BodyText"/>
        <w:rPr>
          <w:i/>
          <w:iCs/>
          <w:u w:val="single"/>
        </w:rPr>
      </w:pPr>
      <w:r>
        <w:rPr>
          <w:i/>
          <w:iCs/>
          <w:u w:val="single"/>
        </w:rPr>
        <w:t xml:space="preserve">PSCell </w:t>
      </w:r>
      <w:r w:rsidR="00504E22" w:rsidRPr="004E3A7D">
        <w:rPr>
          <w:i/>
          <w:iCs/>
          <w:u w:val="single"/>
        </w:rPr>
        <w:t>measurements</w:t>
      </w:r>
    </w:p>
    <w:p w14:paraId="08857034" w14:textId="4C848C78" w:rsidR="00504E22" w:rsidRDefault="00AF2CBA" w:rsidP="00F436A9">
      <w:pPr>
        <w:pStyle w:val="BodyText"/>
      </w:pPr>
      <w:r>
        <w:t xml:space="preserve">PSCell measurements </w:t>
      </w:r>
      <w:r w:rsidR="004E3A7D">
        <w:t xml:space="preserve">(RSRP, RSRQ at least) </w:t>
      </w:r>
      <w:r>
        <w:t xml:space="preserve"> can be useful while the SCG is deactivated</w:t>
      </w:r>
      <w:r w:rsidR="00504E22">
        <w:t xml:space="preserve">, </w:t>
      </w:r>
      <w:r>
        <w:t xml:space="preserve">as </w:t>
      </w:r>
      <w:r w:rsidR="004E3A7D">
        <w:t xml:space="preserve">there will be available PSCell measurements to be included in a measurement report triggered according to MCG measConfig, </w:t>
      </w:r>
      <w:r>
        <w:t xml:space="preserve">so the network can determine </w:t>
      </w:r>
      <w:r w:rsidR="004E3A7D">
        <w:t xml:space="preserve">whether to keep or remove the PSCell upon an MCG handover. </w:t>
      </w:r>
      <w:r w:rsidR="00FC1940">
        <w:t xml:space="preserve">In addition, if PSCell measurements are available, they could be included in an SCG failure </w:t>
      </w:r>
      <w:r w:rsidR="00405F91">
        <w:t xml:space="preserve">information message </w:t>
      </w:r>
      <w:r w:rsidR="00FC1940">
        <w:t xml:space="preserve">if an SCG failure is triggered (in case UE </w:t>
      </w:r>
      <w:r w:rsidR="001F0428">
        <w:t>detects</w:t>
      </w:r>
      <w:r w:rsidR="00FC1940">
        <w:t xml:space="preserve"> S-RLF while SCG is deactivated).</w:t>
      </w:r>
      <w:r w:rsidR="001C4A60">
        <w:t xml:space="preserve"> The proposed conclusion in </w:t>
      </w:r>
      <w:r w:rsidR="001C4A60">
        <w:fldChar w:fldCharType="begin"/>
      </w:r>
      <w:r w:rsidR="001C4A60">
        <w:instrText xml:space="preserve"> REF _Ref53453896 \n \h </w:instrText>
      </w:r>
      <w:r w:rsidR="001C4A60">
        <w:fldChar w:fldCharType="separate"/>
      </w:r>
      <w:r w:rsidR="001C4A60">
        <w:t>[1]</w:t>
      </w:r>
      <w:r w:rsidR="001C4A60">
        <w:fldChar w:fldCharType="end"/>
      </w:r>
      <w:r w:rsidR="001C4A60">
        <w:t xml:space="preserve"> is also that PSCell mobility based on SN configured measurements is supported for deactivated SCG.</w:t>
      </w:r>
    </w:p>
    <w:p w14:paraId="15D11109" w14:textId="521A2629" w:rsidR="001C69CD" w:rsidRDefault="001C69CD" w:rsidP="001C69CD">
      <w:pPr>
        <w:pStyle w:val="Proposal"/>
      </w:pPr>
      <w:bookmarkStart w:id="14" w:name="_Toc54294649"/>
      <w:r w:rsidRPr="001C69CD">
        <w:t>If SCG is deactivated, UE continues to perform PSCell measurements based on SN configuration.</w:t>
      </w:r>
      <w:bookmarkEnd w:id="14"/>
    </w:p>
    <w:p w14:paraId="410FDFB7" w14:textId="77777777" w:rsidR="001C69CD" w:rsidRDefault="001C69CD" w:rsidP="00FC1940">
      <w:pPr>
        <w:pStyle w:val="BodyText"/>
      </w:pPr>
    </w:p>
    <w:p w14:paraId="3732F715" w14:textId="546125FE" w:rsidR="000B479A" w:rsidRPr="004E3A7D" w:rsidRDefault="003E2134" w:rsidP="000B479A">
      <w:pPr>
        <w:pStyle w:val="BodyText"/>
        <w:rPr>
          <w:i/>
          <w:iCs/>
          <w:u w:val="single"/>
        </w:rPr>
      </w:pPr>
      <w:r>
        <w:rPr>
          <w:i/>
          <w:iCs/>
          <w:u w:val="single"/>
        </w:rPr>
        <w:t xml:space="preserve">SCG </w:t>
      </w:r>
      <w:proofErr w:type="spellStart"/>
      <w:r w:rsidR="000B479A">
        <w:rPr>
          <w:i/>
          <w:iCs/>
          <w:u w:val="single"/>
        </w:rPr>
        <w:t>S</w:t>
      </w:r>
      <w:r w:rsidR="00FF3FCA">
        <w:rPr>
          <w:i/>
          <w:iCs/>
          <w:u w:val="single"/>
        </w:rPr>
        <w:t>c</w:t>
      </w:r>
      <w:r w:rsidR="000B479A">
        <w:rPr>
          <w:i/>
          <w:iCs/>
          <w:u w:val="single"/>
        </w:rPr>
        <w:t>ell</w:t>
      </w:r>
      <w:proofErr w:type="spellEnd"/>
      <w:r w:rsidR="000B479A">
        <w:rPr>
          <w:i/>
          <w:iCs/>
          <w:u w:val="single"/>
        </w:rPr>
        <w:t xml:space="preserve"> </w:t>
      </w:r>
      <w:r w:rsidR="000B479A" w:rsidRPr="004E3A7D">
        <w:rPr>
          <w:i/>
          <w:iCs/>
          <w:u w:val="single"/>
        </w:rPr>
        <w:t>measurements</w:t>
      </w:r>
    </w:p>
    <w:p w14:paraId="46502BD9" w14:textId="78C1E74A" w:rsidR="000B479A" w:rsidRDefault="008223B8" w:rsidP="000B479A">
      <w:pPr>
        <w:pStyle w:val="BodyText"/>
      </w:pPr>
      <w:r>
        <w:t xml:space="preserve">While SCG is deactivated, it might be useful that network gets aware when configured SCG </w:t>
      </w:r>
      <w:proofErr w:type="spellStart"/>
      <w:r>
        <w:t>SCell</w:t>
      </w:r>
      <w:proofErr w:type="spellEnd"/>
      <w:r>
        <w:t xml:space="preserve">(s) are not suitable any longer e.g. measurements become below threshold. As in the previous case, if UE continues to perform SCG </w:t>
      </w:r>
      <w:proofErr w:type="spellStart"/>
      <w:r>
        <w:t>SCells</w:t>
      </w:r>
      <w:proofErr w:type="spellEnd"/>
      <w:r>
        <w:t xml:space="preserve"> measurements, these may be included in measurement reports according to MCG measConfig</w:t>
      </w:r>
      <w:r w:rsidR="00E73CCA">
        <w:t xml:space="preserve"> (even if SCG measConfig for measurement reporting is disable</w:t>
      </w:r>
      <w:r w:rsidR="00405F91">
        <w:t>d</w:t>
      </w:r>
      <w:r w:rsidR="00E73CCA">
        <w:t>).</w:t>
      </w:r>
      <w:r w:rsidR="00405F91">
        <w:t xml:space="preserve"> </w:t>
      </w:r>
      <w:r w:rsidR="000B479A">
        <w:t>However, with a slightly lower priority as the UE would need to perform measurements on different frequencies, which would still require some measurement gap configuration (which could reduce performance of the MCG while the SCG is deactivated)</w:t>
      </w:r>
      <w:r w:rsidR="006B4E1A">
        <w:t xml:space="preserve">. There is also the option to keep </w:t>
      </w:r>
      <w:proofErr w:type="spellStart"/>
      <w:r w:rsidR="006B4E1A">
        <w:t>SCells</w:t>
      </w:r>
      <w:proofErr w:type="spellEnd"/>
      <w:r w:rsidR="006B4E1A">
        <w:t xml:space="preserve"> deactivated after SCG activation until reliable measurements are available, though it would</w:t>
      </w:r>
      <w:r w:rsidR="00405F91">
        <w:t xml:space="preserve"> of course</w:t>
      </w:r>
      <w:r w:rsidR="006B4E1A">
        <w:t xml:space="preserve"> slow down access to </w:t>
      </w:r>
      <w:r w:rsidR="00405F91">
        <w:t xml:space="preserve">the </w:t>
      </w:r>
      <w:proofErr w:type="spellStart"/>
      <w:r w:rsidR="00405F91">
        <w:t>SCells</w:t>
      </w:r>
      <w:proofErr w:type="spellEnd"/>
      <w:r w:rsidR="000B479A">
        <w:t>.</w:t>
      </w:r>
    </w:p>
    <w:p w14:paraId="6E7C3E20" w14:textId="2A39D86C" w:rsidR="000B479A" w:rsidRDefault="000B479A" w:rsidP="000B479A">
      <w:pPr>
        <w:pStyle w:val="Proposal"/>
      </w:pPr>
      <w:bookmarkStart w:id="15" w:name="_Toc54294650"/>
      <w:r>
        <w:t xml:space="preserve">If SCG is deactivated, </w:t>
      </w:r>
      <w:r w:rsidR="006B4E1A">
        <w:t xml:space="preserve">FFS whether </w:t>
      </w:r>
      <w:r>
        <w:t>UE continues to perform</w:t>
      </w:r>
      <w:r w:rsidR="006B4E1A">
        <w:t xml:space="preserve"> SCG</w:t>
      </w:r>
      <w:r>
        <w:t xml:space="preserve"> </w:t>
      </w:r>
      <w:proofErr w:type="spellStart"/>
      <w:r>
        <w:t>S</w:t>
      </w:r>
      <w:r w:rsidR="0077224F">
        <w:t>C</w:t>
      </w:r>
      <w:r>
        <w:t>ell</w:t>
      </w:r>
      <w:proofErr w:type="spellEnd"/>
      <w:r>
        <w:t xml:space="preserve"> measurements.</w:t>
      </w:r>
      <w:bookmarkEnd w:id="15"/>
    </w:p>
    <w:p w14:paraId="18F1BE4A" w14:textId="4DAC55A0" w:rsidR="004828C0" w:rsidRDefault="004828C0" w:rsidP="004828C0">
      <w:pPr>
        <w:pStyle w:val="Proposal"/>
        <w:numPr>
          <w:ilvl w:val="0"/>
          <w:numId w:val="0"/>
        </w:numPr>
        <w:ind w:left="1701" w:hanging="1701"/>
      </w:pPr>
    </w:p>
    <w:p w14:paraId="65DC521F" w14:textId="5F4F3B89" w:rsidR="007A743D" w:rsidRPr="004E3A7D" w:rsidRDefault="007A743D" w:rsidP="007A743D">
      <w:pPr>
        <w:pStyle w:val="BodyText"/>
        <w:rPr>
          <w:i/>
          <w:iCs/>
          <w:u w:val="single"/>
        </w:rPr>
      </w:pPr>
      <w:r>
        <w:rPr>
          <w:i/>
          <w:iCs/>
          <w:u w:val="single"/>
        </w:rPr>
        <w:t xml:space="preserve">PSCell mobility with deactivated SCG </w:t>
      </w:r>
    </w:p>
    <w:p w14:paraId="504751F1" w14:textId="77777777" w:rsidR="007A743D" w:rsidRDefault="007A743D" w:rsidP="007A743D">
      <w:pPr>
        <w:pStyle w:val="BodyText"/>
      </w:pPr>
      <w:r>
        <w:t>In legacy MR-DC, according to the SCG’s measConfig, the UE operating in MR-DC can be configured to report measurements of neighbours on serving frequencies e.g. A3 events for neighbour cells that are candidates for a PSCell change (in case these are PSCell measurements).</w:t>
      </w:r>
    </w:p>
    <w:p w14:paraId="5B1F6CDB" w14:textId="6935EA80" w:rsidR="007A743D" w:rsidRDefault="007A743D" w:rsidP="007A743D">
      <w:pPr>
        <w:pStyle w:val="BodyText"/>
      </w:pPr>
      <w:r>
        <w:t xml:space="preserve">In the email discussion </w:t>
      </w:r>
      <w:r>
        <w:fldChar w:fldCharType="begin"/>
      </w:r>
      <w:r>
        <w:instrText xml:space="preserve"> REF _Ref53453896 \n \h </w:instrText>
      </w:r>
      <w:r>
        <w:fldChar w:fldCharType="separate"/>
      </w:r>
      <w:r>
        <w:t>[1]</w:t>
      </w:r>
      <w:r>
        <w:fldChar w:fldCharType="end"/>
      </w:r>
      <w:r>
        <w:t xml:space="preserve">, the proposed conclusion is to support PSCell mobility based on SN configured measurements for deactivated SCG. This means that SCG mobility is supported while SCG is deactivated. </w:t>
      </w:r>
    </w:p>
    <w:p w14:paraId="5F9FF362" w14:textId="77777777" w:rsidR="007A743D" w:rsidRDefault="007A743D" w:rsidP="007A743D">
      <w:pPr>
        <w:pStyle w:val="BodyText"/>
        <w:jc w:val="center"/>
      </w:pPr>
      <w:r>
        <w:rPr>
          <w:noProof/>
        </w:rPr>
        <w:lastRenderedPageBreak/>
        <w:drawing>
          <wp:inline distT="0" distB="0" distL="0" distR="0" wp14:anchorId="5B6999EB" wp14:editId="7D42B677">
            <wp:extent cx="5344846" cy="1747310"/>
            <wp:effectExtent l="0" t="0" r="8255"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53685" cy="1750200"/>
                    </a:xfrm>
                    <a:prstGeom prst="rect">
                      <a:avLst/>
                    </a:prstGeom>
                    <a:noFill/>
                  </pic:spPr>
                </pic:pic>
              </a:graphicData>
            </a:graphic>
          </wp:inline>
        </w:drawing>
      </w:r>
    </w:p>
    <w:p w14:paraId="1648F10A" w14:textId="77777777" w:rsidR="007A743D" w:rsidRDefault="007A743D" w:rsidP="007A743D">
      <w:pPr>
        <w:pStyle w:val="BodyText"/>
      </w:pPr>
    </w:p>
    <w:p w14:paraId="0753B878" w14:textId="77777777" w:rsidR="007A743D" w:rsidRDefault="007A743D" w:rsidP="00202BA5">
      <w:pPr>
        <w:pStyle w:val="Proposal"/>
      </w:pPr>
      <w:bookmarkStart w:id="16" w:name="_Toc54294651"/>
      <w:r>
        <w:t>SCG mobility is supported while SCG is deactivated.</w:t>
      </w:r>
      <w:bookmarkEnd w:id="16"/>
    </w:p>
    <w:p w14:paraId="31D89109" w14:textId="77777777" w:rsidR="007A743D" w:rsidRDefault="007A743D" w:rsidP="007A743D">
      <w:pPr>
        <w:pStyle w:val="BodyText"/>
      </w:pPr>
    </w:p>
    <w:p w14:paraId="5C40DE02" w14:textId="1A1F54FE" w:rsidR="007A743D" w:rsidRDefault="007A743D" w:rsidP="007A743D">
      <w:pPr>
        <w:pStyle w:val="BodyText"/>
      </w:pPr>
      <w:r>
        <w:t>Then, in order to support SCG mobility, it makes sense that the UE continue</w:t>
      </w:r>
      <w:r w:rsidR="00405F91">
        <w:t>s</w:t>
      </w:r>
      <w:r>
        <w:t xml:space="preserve"> to perform SCG neighbour measurements for at least measId(s) associated to events A3/A5 according to SCG measConfig.</w:t>
      </w:r>
    </w:p>
    <w:p w14:paraId="50F7EE4C" w14:textId="657A7EC3" w:rsidR="007A743D" w:rsidRDefault="007A743D" w:rsidP="007A743D">
      <w:pPr>
        <w:pStyle w:val="Proposal"/>
      </w:pPr>
      <w:bookmarkStart w:id="17" w:name="_Toc54294652"/>
      <w:r>
        <w:t>If SCG is deactivated, UE continues to perform SCG measurements for at least the measId(s) associated to events A3/A5. FFS other measurements.</w:t>
      </w:r>
      <w:bookmarkEnd w:id="17"/>
    </w:p>
    <w:p w14:paraId="57CCABAE" w14:textId="77777777" w:rsidR="007A743D" w:rsidRDefault="007A743D" w:rsidP="004828C0">
      <w:pPr>
        <w:pStyle w:val="BodyText"/>
        <w:rPr>
          <w:i/>
          <w:iCs/>
          <w:u w:val="single"/>
        </w:rPr>
      </w:pPr>
    </w:p>
    <w:p w14:paraId="36D8CA30" w14:textId="275DE2A5" w:rsidR="004828C0" w:rsidRDefault="004828C0" w:rsidP="004828C0">
      <w:pPr>
        <w:pStyle w:val="BodyText"/>
        <w:rPr>
          <w:i/>
          <w:iCs/>
          <w:u w:val="single"/>
        </w:rPr>
      </w:pPr>
      <w:proofErr w:type="spellStart"/>
      <w:r>
        <w:rPr>
          <w:i/>
          <w:iCs/>
          <w:u w:val="single"/>
        </w:rPr>
        <w:t>PCell</w:t>
      </w:r>
      <w:proofErr w:type="spellEnd"/>
      <w:r>
        <w:rPr>
          <w:i/>
          <w:iCs/>
          <w:u w:val="single"/>
        </w:rPr>
        <w:t xml:space="preserve"> mobility with deactivated SCG</w:t>
      </w:r>
    </w:p>
    <w:p w14:paraId="32637B4E" w14:textId="0696238D" w:rsidR="007A743D" w:rsidRDefault="004828C0" w:rsidP="004828C0">
      <w:pPr>
        <w:pStyle w:val="BodyText"/>
      </w:pPr>
      <w:r>
        <w:t xml:space="preserve">Based on the RRM measurements according to the MCG </w:t>
      </w:r>
      <w:proofErr w:type="spellStart"/>
      <w:r>
        <w:t>measConfig</w:t>
      </w:r>
      <w:proofErr w:type="spellEnd"/>
      <w:r>
        <w:t xml:space="preserve">, a </w:t>
      </w:r>
      <w:proofErr w:type="spellStart"/>
      <w:r>
        <w:t>PCell</w:t>
      </w:r>
      <w:proofErr w:type="spellEnd"/>
      <w:r>
        <w:t xml:space="preserve"> change may be triggered for a UE with deactivated SCG. </w:t>
      </w:r>
      <w:r w:rsidR="005D3FFE">
        <w:t xml:space="preserve">Depending on deployment, the PSCell of the deactivated SCG may or may not overlap with the coverage of the target </w:t>
      </w:r>
      <w:proofErr w:type="spellStart"/>
      <w:r w:rsidR="005D3FFE">
        <w:t>PCell</w:t>
      </w:r>
      <w:proofErr w:type="spellEnd"/>
      <w:r w:rsidR="005D3FFE">
        <w:t xml:space="preserve">. </w:t>
      </w:r>
      <w:r w:rsidR="003102FC">
        <w:t>Since the proposed conclusion of the email discussion</w:t>
      </w:r>
      <w:r w:rsidR="00202BA5">
        <w:t xml:space="preserve"> </w:t>
      </w:r>
      <w:r w:rsidR="00202BA5">
        <w:fldChar w:fldCharType="begin"/>
      </w:r>
      <w:r w:rsidR="00202BA5">
        <w:instrText xml:space="preserve"> REF _Ref53453896 \n \h </w:instrText>
      </w:r>
      <w:r w:rsidR="00202BA5">
        <w:fldChar w:fldCharType="separate"/>
      </w:r>
      <w:r w:rsidR="00202BA5">
        <w:t>[1]</w:t>
      </w:r>
      <w:r w:rsidR="00202BA5">
        <w:fldChar w:fldCharType="end"/>
      </w:r>
      <w:r w:rsidR="003102FC">
        <w:t xml:space="preserve"> is to support PSCell mobility</w:t>
      </w:r>
      <w:r w:rsidR="007A743D">
        <w:t xml:space="preserve"> based on SN configured measurements for deactivated SCG, also </w:t>
      </w:r>
      <w:proofErr w:type="spellStart"/>
      <w:r w:rsidR="007A743D">
        <w:t>PCell</w:t>
      </w:r>
      <w:proofErr w:type="spellEnd"/>
      <w:r w:rsidR="007A743D">
        <w:t xml:space="preserve"> mobility should be supported while SCG</w:t>
      </w:r>
      <w:r w:rsidR="00202BA5">
        <w:t xml:space="preserve"> is deactivated</w:t>
      </w:r>
      <w:r w:rsidR="007A743D">
        <w:t>.</w:t>
      </w:r>
    </w:p>
    <w:p w14:paraId="675DBAF5" w14:textId="31F9ECD9" w:rsidR="004828C0" w:rsidRDefault="004828C0" w:rsidP="00992543">
      <w:pPr>
        <w:pStyle w:val="BodyText"/>
        <w:jc w:val="center"/>
      </w:pPr>
      <w:r>
        <w:rPr>
          <w:noProof/>
        </w:rPr>
        <w:drawing>
          <wp:inline distT="0" distB="0" distL="0" distR="0" wp14:anchorId="5C00058A" wp14:editId="07E16EA1">
            <wp:extent cx="4917334" cy="1607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27568" cy="1610896"/>
                    </a:xfrm>
                    <a:prstGeom prst="rect">
                      <a:avLst/>
                    </a:prstGeom>
                    <a:noFill/>
                  </pic:spPr>
                </pic:pic>
              </a:graphicData>
            </a:graphic>
          </wp:inline>
        </w:drawing>
      </w:r>
    </w:p>
    <w:p w14:paraId="763394B7" w14:textId="6A924C4B" w:rsidR="001D6352" w:rsidRDefault="001D6352" w:rsidP="001D6352">
      <w:pPr>
        <w:pStyle w:val="Proposal"/>
      </w:pPr>
      <w:bookmarkStart w:id="18" w:name="_Toc54294653"/>
      <w:r>
        <w:t xml:space="preserve">MCG mobility is supported while </w:t>
      </w:r>
      <w:r w:rsidR="000F5F55">
        <w:t xml:space="preserve">SCG is </w:t>
      </w:r>
      <w:r w:rsidR="004828C0">
        <w:t>deactivated</w:t>
      </w:r>
      <w:r>
        <w:t>.</w:t>
      </w:r>
      <w:bookmarkEnd w:id="18"/>
    </w:p>
    <w:p w14:paraId="55FF97D5" w14:textId="6E7E1802" w:rsidR="00D97217" w:rsidRDefault="00D97217" w:rsidP="000B479A">
      <w:pPr>
        <w:pStyle w:val="BodyText"/>
      </w:pPr>
    </w:p>
    <w:p w14:paraId="766BE54E" w14:textId="6E590B7F" w:rsidR="001F0870" w:rsidRDefault="001F0870" w:rsidP="000B479A">
      <w:pPr>
        <w:pStyle w:val="BodyText"/>
      </w:pPr>
      <w:r>
        <w:t xml:space="preserve">Another aspect that may also be discussed is whether requirements may be relaxed, for the sake of further power savings. </w:t>
      </w:r>
      <w:r w:rsidR="001F0E99">
        <w:t>This needs to be studied also in RAN4.</w:t>
      </w:r>
    </w:p>
    <w:p w14:paraId="30B069E0" w14:textId="37BE903A" w:rsidR="001F0870" w:rsidRDefault="001F0870" w:rsidP="001F0870">
      <w:pPr>
        <w:pStyle w:val="Proposal"/>
      </w:pPr>
      <w:bookmarkStart w:id="19" w:name="_Toc54294654"/>
      <w:r>
        <w:t>Discuss</w:t>
      </w:r>
      <w:r w:rsidR="001F0E99">
        <w:t>, together with RAN4,</w:t>
      </w:r>
      <w:r>
        <w:t xml:space="preserve"> relaxed RRM measurements requirement for the case the SCG is deactivated.</w:t>
      </w:r>
      <w:bookmarkEnd w:id="19"/>
    </w:p>
    <w:p w14:paraId="3A5BDA0D" w14:textId="77777777" w:rsidR="00F436A9" w:rsidRDefault="00F436A9" w:rsidP="00F436A9">
      <w:pPr>
        <w:pStyle w:val="BodyText"/>
      </w:pPr>
    </w:p>
    <w:p w14:paraId="79502754" w14:textId="0FA48DCF" w:rsidR="00170EC9" w:rsidRPr="00170EC9" w:rsidRDefault="0090601B" w:rsidP="00170EC9">
      <w:pPr>
        <w:pStyle w:val="Heading2"/>
      </w:pPr>
      <w:bookmarkStart w:id="20" w:name="_Ref54037400"/>
      <w:r>
        <w:t>2.4</w:t>
      </w:r>
      <w:r>
        <w:tab/>
      </w:r>
      <w:r w:rsidR="00170EC9" w:rsidRPr="00170EC9">
        <w:t>Radio link monitoring</w:t>
      </w:r>
      <w:bookmarkEnd w:id="20"/>
    </w:p>
    <w:p w14:paraId="6A7FD059" w14:textId="1D058B65" w:rsidR="008D3FA4" w:rsidRDefault="0018011E" w:rsidP="008D3FA4">
      <w:pPr>
        <w:pStyle w:val="BodyText"/>
      </w:pPr>
      <w:r>
        <w:t xml:space="preserve">A legacy UE operating in MR-DC performs both MCG RLM </w:t>
      </w:r>
      <w:r w:rsidR="008D3FA4">
        <w:t xml:space="preserve">(M-RLM) </w:t>
      </w:r>
      <w:r>
        <w:t>and SCG RLM</w:t>
      </w:r>
      <w:r w:rsidR="008D3FA4">
        <w:t xml:space="preserve"> (S-RLM)</w:t>
      </w:r>
      <w:r>
        <w:t xml:space="preserve">. If an S-RLF </w:t>
      </w:r>
      <w:r w:rsidR="008D3FA4">
        <w:t xml:space="preserve">(RLF triggered on the PSCell) </w:t>
      </w:r>
      <w:r>
        <w:t xml:space="preserve">is triggered while the MCG link is not suspended, the UE transmits an SCG failure report including available measurements. </w:t>
      </w:r>
    </w:p>
    <w:p w14:paraId="0D9D2849" w14:textId="4925AF34" w:rsidR="008D3FA4" w:rsidRDefault="0018011E" w:rsidP="008D3FA4">
      <w:pPr>
        <w:pStyle w:val="BodyText"/>
      </w:pPr>
      <w:r>
        <w:t xml:space="preserve">For the case the SCG is deactivated, </w:t>
      </w:r>
      <w:r w:rsidR="008D3FA4">
        <w:t xml:space="preserve">according to the email discussion for deactivated SCG, 12 companies answered </w:t>
      </w:r>
      <w:r w:rsidR="00FF3FCA">
        <w:t>“</w:t>
      </w:r>
      <w:r w:rsidR="008D3FA4">
        <w:t>no</w:t>
      </w:r>
      <w:r w:rsidR="00FF3FCA">
        <w:t>”</w:t>
      </w:r>
      <w:r w:rsidR="008D3FA4">
        <w:t xml:space="preserve"> (i.e. </w:t>
      </w:r>
      <w:r w:rsidR="00753D8B">
        <w:t xml:space="preserve">they don’t want the UE to perform </w:t>
      </w:r>
      <w:r w:rsidR="008D3FA4">
        <w:t>S-RLM</w:t>
      </w:r>
      <w:r w:rsidR="00753D8B">
        <w:t xml:space="preserve"> while the SCG is deactivated</w:t>
      </w:r>
      <w:r w:rsidR="008D3FA4">
        <w:t>)</w:t>
      </w:r>
      <w:r w:rsidR="00753D8B">
        <w:t xml:space="preserve">, </w:t>
      </w:r>
      <w:r w:rsidR="008D3FA4">
        <w:t xml:space="preserve">5 companies </w:t>
      </w:r>
      <w:r w:rsidR="008D3FA4">
        <w:lastRenderedPageBreak/>
        <w:t xml:space="preserve">answered </w:t>
      </w:r>
      <w:r w:rsidR="00FF3FCA">
        <w:t>“</w:t>
      </w:r>
      <w:r w:rsidR="008D3FA4">
        <w:t>yes</w:t>
      </w:r>
      <w:r w:rsidR="00FF3FCA">
        <w:t>”</w:t>
      </w:r>
      <w:r w:rsidR="008D3FA4">
        <w:t xml:space="preserve">, 5 companies answered </w:t>
      </w:r>
      <w:r w:rsidR="00FF3FCA">
        <w:t>“</w:t>
      </w:r>
      <w:r w:rsidR="008D3FA4">
        <w:t>maybe</w:t>
      </w:r>
      <w:r w:rsidR="00FF3FCA">
        <w:t>”</w:t>
      </w:r>
      <w:r w:rsidR="008D3FA4">
        <w:t xml:space="preserve"> and one company answered </w:t>
      </w:r>
      <w:r w:rsidR="00FF3FCA">
        <w:t>“</w:t>
      </w:r>
      <w:r w:rsidR="008D3FA4">
        <w:t>neutral</w:t>
      </w:r>
      <w:r w:rsidR="00FF3FCA">
        <w:t>”</w:t>
      </w:r>
      <w:r w:rsidR="00753D8B">
        <w:t xml:space="preserve">, and rapporteur has concluded that </w:t>
      </w:r>
      <w:r w:rsidR="008D3FA4">
        <w:t>more discussions are needed.</w:t>
      </w:r>
    </w:p>
    <w:p w14:paraId="289210D1" w14:textId="52AEB6AB" w:rsidR="00753D8B" w:rsidRDefault="00753D8B" w:rsidP="00E22723">
      <w:pPr>
        <w:pStyle w:val="BodyText"/>
      </w:pPr>
      <w:r>
        <w:t>Rapporteur has listed the following arguments from the different comments. For each of these, we provide our views:</w:t>
      </w:r>
    </w:p>
    <w:p w14:paraId="0731E16B" w14:textId="345EE08F" w:rsidR="008D3FA4" w:rsidRPr="00E22723" w:rsidRDefault="00FF3FCA" w:rsidP="00E22723">
      <w:pPr>
        <w:pStyle w:val="B1"/>
        <w:numPr>
          <w:ilvl w:val="0"/>
          <w:numId w:val="27"/>
        </w:numPr>
        <w:rPr>
          <w:b/>
          <w:bCs/>
        </w:rPr>
      </w:pPr>
      <w:r>
        <w:rPr>
          <w:b/>
          <w:bCs/>
        </w:rPr>
        <w:t>“</w:t>
      </w:r>
      <w:r w:rsidR="008D3FA4" w:rsidRPr="00E22723">
        <w:rPr>
          <w:b/>
          <w:bCs/>
        </w:rPr>
        <w:t>we already now have SCG failure behaviour defined it is worthwhile to consider would it be easier just to support RLM without impacts to specification</w:t>
      </w:r>
      <w:r>
        <w:rPr>
          <w:b/>
          <w:bCs/>
        </w:rPr>
        <w:t>”</w:t>
      </w:r>
    </w:p>
    <w:p w14:paraId="12B4CF71" w14:textId="1868377F" w:rsidR="00753D8B" w:rsidRPr="00E22723" w:rsidRDefault="006008D4" w:rsidP="00172714">
      <w:pPr>
        <w:pStyle w:val="B1"/>
        <w:ind w:left="567" w:firstLine="0"/>
        <w:rPr>
          <w:rFonts w:ascii="Arial" w:hAnsi="Arial" w:cs="Arial"/>
        </w:rPr>
      </w:pPr>
      <w:r w:rsidRPr="00172714">
        <w:rPr>
          <w:rFonts w:ascii="Arial" w:hAnsi="Arial" w:cs="Arial"/>
          <w:i/>
          <w:iCs/>
        </w:rPr>
        <w:t xml:space="preserve">Ericsson view: </w:t>
      </w:r>
      <w:r w:rsidR="00753D8B" w:rsidRPr="00172714">
        <w:rPr>
          <w:rFonts w:ascii="Arial" w:hAnsi="Arial" w:cs="Arial"/>
          <w:i/>
          <w:iCs/>
        </w:rPr>
        <w:t xml:space="preserve">that indeed simplifies the handling in the specifications i.e. there would </w:t>
      </w:r>
      <w:r w:rsidR="00AC16C3" w:rsidRPr="00172714">
        <w:rPr>
          <w:rFonts w:ascii="Arial" w:hAnsi="Arial" w:cs="Arial"/>
          <w:i/>
          <w:iCs/>
        </w:rPr>
        <w:t xml:space="preserve">be </w:t>
      </w:r>
      <w:r w:rsidR="00753D8B" w:rsidRPr="00172714">
        <w:rPr>
          <w:rFonts w:ascii="Arial" w:hAnsi="Arial" w:cs="Arial"/>
          <w:i/>
          <w:iCs/>
        </w:rPr>
        <w:t xml:space="preserve">no need to suspend RLM when </w:t>
      </w:r>
      <w:r w:rsidR="00E22723" w:rsidRPr="00172714">
        <w:rPr>
          <w:rFonts w:ascii="Arial" w:hAnsi="Arial" w:cs="Arial"/>
          <w:i/>
          <w:iCs/>
        </w:rPr>
        <w:t xml:space="preserve">the </w:t>
      </w:r>
      <w:r w:rsidR="00753D8B" w:rsidRPr="00172714">
        <w:rPr>
          <w:rFonts w:ascii="Arial" w:hAnsi="Arial" w:cs="Arial"/>
          <w:i/>
          <w:iCs/>
        </w:rPr>
        <w:t>SCG is deactivated</w:t>
      </w:r>
      <w:r w:rsidR="00E22723" w:rsidRPr="00172714">
        <w:rPr>
          <w:rFonts w:ascii="Arial" w:hAnsi="Arial" w:cs="Arial"/>
          <w:i/>
          <w:iCs/>
        </w:rPr>
        <w:t xml:space="preserve"> and/or no need to define a new handling of S-RLF. In addition to it, it might be a valid use case to indicate an SCG failure report to the network while the UE is in MR-DC, even for a deactivated SCG</w:t>
      </w:r>
      <w:r w:rsidR="00047F9E">
        <w:rPr>
          <w:rFonts w:ascii="Arial" w:hAnsi="Arial" w:cs="Arial"/>
          <w:i/>
          <w:iCs/>
        </w:rPr>
        <w:t>.</w:t>
      </w:r>
    </w:p>
    <w:p w14:paraId="1FA18D0E" w14:textId="17DDAE26" w:rsidR="008D3FA4" w:rsidRPr="00172714" w:rsidRDefault="00172714" w:rsidP="00172714">
      <w:pPr>
        <w:pStyle w:val="B1"/>
        <w:numPr>
          <w:ilvl w:val="0"/>
          <w:numId w:val="27"/>
        </w:numPr>
        <w:rPr>
          <w:b/>
          <w:bCs/>
        </w:rPr>
      </w:pPr>
      <w:r>
        <w:rPr>
          <w:b/>
          <w:bCs/>
        </w:rPr>
        <w:t>“</w:t>
      </w:r>
      <w:r w:rsidRPr="001353D2">
        <w:rPr>
          <w:b/>
          <w:bCs/>
        </w:rPr>
        <w:t>UE power consumption needs to be considered as well but likely that is minimal as same resources can be used for RLM and RRM evaluations</w:t>
      </w:r>
      <w:r>
        <w:rPr>
          <w:b/>
          <w:bCs/>
        </w:rPr>
        <w:t>”</w:t>
      </w:r>
      <w:r w:rsidRPr="001353D2">
        <w:rPr>
          <w:b/>
          <w:bCs/>
        </w:rPr>
        <w:t xml:space="preserve">. </w:t>
      </w:r>
      <w:proofErr w:type="gramStart"/>
      <w:r w:rsidRPr="001353D2">
        <w:rPr>
          <w:b/>
          <w:bCs/>
        </w:rPr>
        <w:t>Actually, RLF</w:t>
      </w:r>
      <w:proofErr w:type="gramEnd"/>
      <w:r w:rsidRPr="001353D2">
        <w:rPr>
          <w:b/>
          <w:bCs/>
        </w:rPr>
        <w:t xml:space="preserve"> will be triggered even if there are other good beams of the same cell because RLM is performed on a limited number of beams. </w:t>
      </w:r>
      <w:proofErr w:type="gramStart"/>
      <w:r w:rsidRPr="001353D2">
        <w:rPr>
          <w:b/>
          <w:bCs/>
        </w:rPr>
        <w:t>So</w:t>
      </w:r>
      <w:proofErr w:type="gramEnd"/>
      <w:r w:rsidRPr="001353D2">
        <w:rPr>
          <w:b/>
          <w:bCs/>
        </w:rPr>
        <w:t xml:space="preserve"> isn</w:t>
      </w:r>
      <w:r>
        <w:rPr>
          <w:b/>
          <w:bCs/>
        </w:rPr>
        <w:t>’</w:t>
      </w:r>
      <w:r w:rsidRPr="001353D2">
        <w:rPr>
          <w:b/>
          <w:bCs/>
        </w:rPr>
        <w:t>t this also a kind of BFD?</w:t>
      </w:r>
      <w:r>
        <w:rPr>
          <w:b/>
          <w:bCs/>
        </w:rPr>
        <w:t>”</w:t>
      </w:r>
    </w:p>
    <w:p w14:paraId="1DED4E7F" w14:textId="4BE904C3" w:rsidR="006008D4" w:rsidRPr="00172714" w:rsidRDefault="006008D4" w:rsidP="00172714">
      <w:pPr>
        <w:pStyle w:val="B1"/>
        <w:ind w:left="567" w:firstLine="0"/>
        <w:rPr>
          <w:rFonts w:ascii="Arial" w:hAnsi="Arial" w:cs="Arial"/>
          <w:i/>
          <w:iCs/>
        </w:rPr>
      </w:pPr>
      <w:r w:rsidRPr="00172714">
        <w:rPr>
          <w:rFonts w:ascii="Arial" w:hAnsi="Arial" w:cs="Arial"/>
          <w:i/>
          <w:iCs/>
        </w:rPr>
        <w:t>Ericsson view: In our view there are ways to reduce power consumption due to S-RLM, such as considering relaxed requirements e.g. as in the case of autonomous gaps (up to RAN4). When it comes to the usage of same resources as RRM, that might be a possibility (though this would require further specification work).</w:t>
      </w:r>
      <w:r w:rsidR="00A65CF7">
        <w:rPr>
          <w:rFonts w:ascii="Arial" w:hAnsi="Arial" w:cs="Arial"/>
          <w:i/>
          <w:iCs/>
        </w:rPr>
        <w:t xml:space="preserve"> </w:t>
      </w:r>
      <w:r w:rsidRPr="00172714">
        <w:rPr>
          <w:rFonts w:ascii="Arial" w:hAnsi="Arial" w:cs="Arial"/>
          <w:i/>
          <w:iCs/>
        </w:rPr>
        <w:t xml:space="preserve">On the other hand, it is indeed true that currently RLM is performed in a limited number of beams (or based on TCI state configuration), that may need to be updated as the UE moves within the cell. In other words, S-RLM behaviour needs to be discussed once the beam management behaviour for the SCG is discussed. In our view, beam management and CSI </w:t>
      </w:r>
      <w:proofErr w:type="gramStart"/>
      <w:r w:rsidRPr="00172714">
        <w:rPr>
          <w:rFonts w:ascii="Arial" w:hAnsi="Arial" w:cs="Arial"/>
          <w:i/>
          <w:iCs/>
        </w:rPr>
        <w:t>is</w:t>
      </w:r>
      <w:proofErr w:type="gramEnd"/>
      <w:r w:rsidRPr="00172714">
        <w:rPr>
          <w:rFonts w:ascii="Arial" w:hAnsi="Arial" w:cs="Arial"/>
          <w:i/>
          <w:iCs/>
        </w:rPr>
        <w:t xml:space="preserve"> crucial to enable a fast SCG activation. And, if such a framework is in place, it might not be difficult to enable S-RLM.</w:t>
      </w:r>
    </w:p>
    <w:p w14:paraId="3B843FF0" w14:textId="04F84E68" w:rsidR="006008D4" w:rsidRPr="001353D2" w:rsidRDefault="008D3FA4" w:rsidP="001353D2">
      <w:pPr>
        <w:pStyle w:val="B1"/>
        <w:rPr>
          <w:b/>
          <w:bCs/>
        </w:rPr>
      </w:pPr>
      <w:r w:rsidRPr="001353D2">
        <w:rPr>
          <w:b/>
          <w:bCs/>
        </w:rPr>
        <w:t>3)</w:t>
      </w:r>
      <w:proofErr w:type="gramStart"/>
      <w:r w:rsidRPr="001353D2">
        <w:rPr>
          <w:b/>
          <w:bCs/>
        </w:rPr>
        <w:tab/>
      </w:r>
      <w:r w:rsidR="00FF3FCA">
        <w:rPr>
          <w:b/>
          <w:bCs/>
        </w:rPr>
        <w:t>“</w:t>
      </w:r>
      <w:r w:rsidRPr="001353D2">
        <w:rPr>
          <w:b/>
          <w:bCs/>
        </w:rPr>
        <w:t xml:space="preserve"> If</w:t>
      </w:r>
      <w:proofErr w:type="gramEnd"/>
      <w:r w:rsidRPr="001353D2">
        <w:rPr>
          <w:b/>
          <w:bCs/>
        </w:rPr>
        <w:t xml:space="preserve"> this is not supported there is a risk that the network tries to activate an SCG that is not even within the coverage.</w:t>
      </w:r>
      <w:r w:rsidR="00FF3FCA">
        <w:rPr>
          <w:b/>
          <w:bCs/>
        </w:rPr>
        <w:t>”</w:t>
      </w:r>
      <w:r w:rsidRPr="001353D2">
        <w:rPr>
          <w:b/>
          <w:bCs/>
        </w:rPr>
        <w:t>. Probably A2 would detect that too.</w:t>
      </w:r>
    </w:p>
    <w:p w14:paraId="72F151FF" w14:textId="7AF59D58" w:rsidR="008D3FA4" w:rsidRPr="001353D2" w:rsidRDefault="008D3FA4" w:rsidP="008D3FA4">
      <w:pPr>
        <w:pStyle w:val="B1"/>
        <w:rPr>
          <w:b/>
          <w:bCs/>
        </w:rPr>
      </w:pPr>
      <w:r w:rsidRPr="001353D2">
        <w:rPr>
          <w:b/>
          <w:bCs/>
        </w:rPr>
        <w:t>4)</w:t>
      </w:r>
      <w:r w:rsidRPr="001353D2">
        <w:rPr>
          <w:b/>
          <w:bCs/>
        </w:rPr>
        <w:tab/>
      </w:r>
      <w:r w:rsidR="00FF3FCA">
        <w:rPr>
          <w:b/>
          <w:bCs/>
        </w:rPr>
        <w:t>“</w:t>
      </w:r>
      <w:r w:rsidRPr="001353D2">
        <w:rPr>
          <w:b/>
          <w:bCs/>
        </w:rPr>
        <w:t>network may not notice the PSCell becomes bad timely, thus network cannot take appropriate action timely</w:t>
      </w:r>
      <w:r w:rsidR="00FF3FCA">
        <w:rPr>
          <w:b/>
          <w:bCs/>
        </w:rPr>
        <w:t>”</w:t>
      </w:r>
    </w:p>
    <w:p w14:paraId="2EE387AB" w14:textId="39ED93A4" w:rsidR="008D3FA4" w:rsidRPr="001353D2" w:rsidRDefault="008D3FA4" w:rsidP="009C439C">
      <w:pPr>
        <w:pStyle w:val="B1"/>
        <w:ind w:hanging="1"/>
        <w:rPr>
          <w:b/>
          <w:bCs/>
        </w:rPr>
      </w:pPr>
      <w:r w:rsidRPr="001353D2">
        <w:rPr>
          <w:b/>
          <w:bCs/>
        </w:rPr>
        <w:t xml:space="preserve">Based on RAN4 specifications (see above), the period for detection that PDCCH BLER is above 10% is the same as the period for RRM measurements of the PSCell, so if </w:t>
      </w:r>
      <w:r w:rsidR="00FF3FCA">
        <w:rPr>
          <w:b/>
          <w:bCs/>
        </w:rPr>
        <w:t>“</w:t>
      </w:r>
      <w:r w:rsidRPr="001353D2">
        <w:rPr>
          <w:b/>
          <w:bCs/>
        </w:rPr>
        <w:t>PSCell becomes bad</w:t>
      </w:r>
      <w:r w:rsidR="00FF3FCA">
        <w:rPr>
          <w:b/>
          <w:bCs/>
        </w:rPr>
        <w:t>”</w:t>
      </w:r>
      <w:r w:rsidRPr="001353D2">
        <w:rPr>
          <w:b/>
          <w:bCs/>
        </w:rPr>
        <w:t xml:space="preserve"> is caused by </w:t>
      </w:r>
      <w:r w:rsidR="00FF3FCA">
        <w:rPr>
          <w:b/>
          <w:bCs/>
        </w:rPr>
        <w:t>“</w:t>
      </w:r>
      <w:r w:rsidRPr="001353D2">
        <w:rPr>
          <w:b/>
          <w:bCs/>
        </w:rPr>
        <w:t>the PSCell is too far</w:t>
      </w:r>
      <w:r w:rsidR="00FF3FCA">
        <w:rPr>
          <w:b/>
          <w:bCs/>
        </w:rPr>
        <w:t>”</w:t>
      </w:r>
      <w:r w:rsidRPr="001353D2">
        <w:rPr>
          <w:b/>
          <w:bCs/>
        </w:rPr>
        <w:t>, A2 could be triggered in the same timing provided the A2 threshold is set accurately. Of course, for RLM, the UE estimates PDCCH BLER above 10% while for A2 it is a network configured threshold, so there is some difference from that perspective.</w:t>
      </w:r>
    </w:p>
    <w:p w14:paraId="796B3A45" w14:textId="77777777" w:rsidR="001353D2" w:rsidRPr="009C439C" w:rsidRDefault="001353D2" w:rsidP="009C439C">
      <w:pPr>
        <w:pStyle w:val="B1"/>
        <w:ind w:left="567" w:firstLine="0"/>
        <w:rPr>
          <w:rFonts w:ascii="Arial" w:hAnsi="Arial" w:cs="Arial"/>
          <w:i/>
          <w:iCs/>
        </w:rPr>
      </w:pPr>
      <w:r w:rsidRPr="009C439C">
        <w:rPr>
          <w:rFonts w:ascii="Arial" w:hAnsi="Arial" w:cs="Arial"/>
          <w:i/>
          <w:iCs/>
        </w:rPr>
        <w:t>Ericsson view: In our view this risk exists, though we agree that if everything works fine an A2 would be triggered. However, as it is known, there may be failure cases related to event triggering measurement reporting (being the reason SCG failure reporting has been specified).</w:t>
      </w:r>
    </w:p>
    <w:p w14:paraId="4D9479E1" w14:textId="3E8435AB" w:rsidR="001353D2" w:rsidRPr="00085D1F" w:rsidRDefault="001353D2" w:rsidP="00085D1F">
      <w:pPr>
        <w:pStyle w:val="B1"/>
        <w:ind w:left="0" w:firstLine="0"/>
        <w:rPr>
          <w:rFonts w:ascii="Arial" w:hAnsi="Arial" w:cs="Arial"/>
        </w:rPr>
      </w:pPr>
      <w:r>
        <w:rPr>
          <w:rFonts w:ascii="Arial" w:hAnsi="Arial" w:cs="Arial"/>
        </w:rPr>
        <w:t>To summarize our view, we believe it is important that the UE continues to perform S-</w:t>
      </w:r>
      <w:r>
        <w:rPr>
          <w:rFonts w:ascii="Arial" w:hAnsi="Arial" w:cs="Arial"/>
        </w:rPr>
        <w:softHyphen/>
        <w:t>RLM while the SCG is deactivated.</w:t>
      </w:r>
      <w:r w:rsidR="00085D1F">
        <w:rPr>
          <w:rFonts w:ascii="Arial" w:hAnsi="Arial" w:cs="Arial"/>
        </w:rPr>
        <w:t xml:space="preserve"> Performing S-RLM can help UE to maintain DL synchronization, which will reduce the activation delay for the SCG, see section 2.2. Reduced SCG activation </w:t>
      </w:r>
      <w:r w:rsidR="002045A6">
        <w:rPr>
          <w:rFonts w:ascii="Arial" w:hAnsi="Arial" w:cs="Arial"/>
        </w:rPr>
        <w:t>time</w:t>
      </w:r>
      <w:r w:rsidR="00085D1F">
        <w:rPr>
          <w:rFonts w:ascii="Arial" w:hAnsi="Arial" w:cs="Arial"/>
        </w:rPr>
        <w:t xml:space="preserve"> is important to maximize MCG offloading, see simulation results in section 2.1.</w:t>
      </w:r>
      <w:r>
        <w:rPr>
          <w:rFonts w:ascii="Arial" w:hAnsi="Arial" w:cs="Arial"/>
        </w:rPr>
        <w:t xml:space="preserve"> We are sensitive to the issue related to power consumption, though there are ways to reduce power consumption due to S-RLM e.g. defining relaxed requirements. On the other</w:t>
      </w:r>
      <w:r w:rsidR="009240E3">
        <w:rPr>
          <w:rFonts w:ascii="Arial" w:hAnsi="Arial" w:cs="Arial"/>
        </w:rPr>
        <w:t xml:space="preserve"> hand</w:t>
      </w:r>
      <w:r>
        <w:rPr>
          <w:rFonts w:ascii="Arial" w:hAnsi="Arial" w:cs="Arial"/>
        </w:rPr>
        <w:t xml:space="preserve">, perhaps a more critical issue is the fact that S-RLM may need to change due to intra-cell mobility, as the UE has a limited number of resources monitored for RLM, and updates may require the reception of RRC messages and/or MAC </w:t>
      </w:r>
      <w:proofErr w:type="spellStart"/>
      <w:r>
        <w:rPr>
          <w:rFonts w:ascii="Arial" w:hAnsi="Arial" w:cs="Arial"/>
        </w:rPr>
        <w:t>C</w:t>
      </w:r>
      <w:r w:rsidR="00FF3FCA">
        <w:rPr>
          <w:rFonts w:ascii="Arial" w:hAnsi="Arial" w:cs="Arial"/>
        </w:rPr>
        <w:t>e</w:t>
      </w:r>
      <w:r>
        <w:rPr>
          <w:rFonts w:ascii="Arial" w:hAnsi="Arial" w:cs="Arial"/>
        </w:rPr>
        <w:t>s</w:t>
      </w:r>
      <w:proofErr w:type="spellEnd"/>
      <w:r>
        <w:rPr>
          <w:rFonts w:ascii="Arial" w:hAnsi="Arial" w:cs="Arial"/>
        </w:rPr>
        <w:t xml:space="preserve"> from the SCG (though UE does not monitor SCG PDCCH). Hence, RAN2 should discuss RLM when the implications of beam management and CSI reporting/measurements are settled for a deactivated SCG.</w:t>
      </w:r>
    </w:p>
    <w:p w14:paraId="368AF1DC" w14:textId="74484438" w:rsidR="001353D2" w:rsidRDefault="001353D2" w:rsidP="001353D2">
      <w:pPr>
        <w:pStyle w:val="Proposal"/>
      </w:pPr>
      <w:bookmarkStart w:id="21" w:name="_Toc54294655"/>
      <w:r>
        <w:t xml:space="preserve">If SCG is deactivated, UE performs </w:t>
      </w:r>
      <w:r w:rsidR="000C733B">
        <w:t xml:space="preserve">some level of </w:t>
      </w:r>
      <w:r>
        <w:t>S-RLM</w:t>
      </w:r>
      <w:r w:rsidR="009C439C">
        <w:t xml:space="preserve"> and SCG failure information procedure is supported to report the failure</w:t>
      </w:r>
      <w:r>
        <w:t>. Exact behaviour to be discussed after beam management and CSI for deactivated SCG is defined.</w:t>
      </w:r>
      <w:bookmarkEnd w:id="21"/>
    </w:p>
    <w:p w14:paraId="19ABD2F3" w14:textId="77777777" w:rsidR="00FD4423" w:rsidRDefault="00FD4423" w:rsidP="00FD4423">
      <w:pPr>
        <w:pStyle w:val="BodyText"/>
      </w:pPr>
      <w:bookmarkStart w:id="22" w:name="_Ref54037413"/>
    </w:p>
    <w:p w14:paraId="46407847" w14:textId="007167E8" w:rsidR="00170EC9" w:rsidRDefault="00170EC9" w:rsidP="0090601B">
      <w:pPr>
        <w:pStyle w:val="Heading2"/>
      </w:pPr>
      <w:r>
        <w:t>2.5</w:t>
      </w:r>
      <w:r>
        <w:tab/>
        <w:t>Beam failure detection/recovery</w:t>
      </w:r>
      <w:bookmarkEnd w:id="22"/>
    </w:p>
    <w:p w14:paraId="571C3ACE" w14:textId="39A087D2" w:rsidR="00E9684B" w:rsidRPr="00E9684B" w:rsidRDefault="00E9684B" w:rsidP="00E9684B">
      <w:pPr>
        <w:rPr>
          <w:rFonts w:ascii="Arial" w:hAnsi="Arial" w:cs="Arial"/>
        </w:rPr>
      </w:pPr>
      <w:r>
        <w:rPr>
          <w:rFonts w:ascii="Arial" w:hAnsi="Arial" w:cs="Arial"/>
        </w:rPr>
        <w:t xml:space="preserve">Beam Failure Detection (BFD) can be configured for a UE operating in MR-DC, for the MCG and for the SCG. The UE is configured </w:t>
      </w:r>
      <w:r w:rsidRPr="00E9684B">
        <w:rPr>
          <w:rFonts w:ascii="Arial" w:hAnsi="Arial" w:cs="Arial"/>
        </w:rPr>
        <w:t xml:space="preserve">with </w:t>
      </w:r>
      <w:r>
        <w:rPr>
          <w:rFonts w:ascii="Arial" w:hAnsi="Arial" w:cs="Arial"/>
        </w:rPr>
        <w:t xml:space="preserve">BFD </w:t>
      </w:r>
      <w:r w:rsidRPr="00E9684B">
        <w:rPr>
          <w:rFonts w:ascii="Arial" w:hAnsi="Arial" w:cs="Arial"/>
        </w:rPr>
        <w:t>reference signals (SSB or CSI-RS) and declares beam failure when the number of beam failure instance indications from the physical layer reaches a configured threshold before a configured timer expires.</w:t>
      </w:r>
      <w:r>
        <w:rPr>
          <w:rFonts w:ascii="Arial" w:hAnsi="Arial" w:cs="Arial"/>
        </w:rPr>
        <w:t xml:space="preserve"> In other words, that requires the UE to perform periodic L1 measurements. One </w:t>
      </w:r>
      <w:r>
        <w:rPr>
          <w:rFonts w:ascii="Arial" w:hAnsi="Arial" w:cs="Arial"/>
        </w:rPr>
        <w:lastRenderedPageBreak/>
        <w:t xml:space="preserve">analogy we can make is that BFD exists to prevent RLF when beam management operations have </w:t>
      </w:r>
      <w:proofErr w:type="gramStart"/>
      <w:r>
        <w:rPr>
          <w:rFonts w:ascii="Arial" w:hAnsi="Arial" w:cs="Arial"/>
        </w:rPr>
        <w:t>some kind of problem</w:t>
      </w:r>
      <w:proofErr w:type="gramEnd"/>
      <w:r>
        <w:rPr>
          <w:rFonts w:ascii="Arial" w:hAnsi="Arial" w:cs="Arial"/>
        </w:rPr>
        <w:t xml:space="preserve"> e.g. the UE does not timely report best beams and network has not mean</w:t>
      </w:r>
      <w:r w:rsidR="00864805">
        <w:rPr>
          <w:rFonts w:ascii="Arial" w:hAnsi="Arial" w:cs="Arial"/>
        </w:rPr>
        <w:t xml:space="preserve">t </w:t>
      </w:r>
      <w:r>
        <w:rPr>
          <w:rFonts w:ascii="Arial" w:hAnsi="Arial" w:cs="Arial"/>
        </w:rPr>
        <w:t xml:space="preserve">to activate / indicate a given TCI state for PDCCH and/or PDSCH. </w:t>
      </w:r>
      <w:r w:rsidRPr="00E9684B">
        <w:rPr>
          <w:rFonts w:ascii="Arial" w:hAnsi="Arial" w:cs="Arial"/>
        </w:rPr>
        <w:t>After beam failure is detected, the UE</w:t>
      </w:r>
      <w:r>
        <w:rPr>
          <w:rFonts w:ascii="Arial" w:hAnsi="Arial" w:cs="Arial"/>
        </w:rPr>
        <w:t xml:space="preserve"> </w:t>
      </w:r>
      <w:r w:rsidRPr="00E9684B">
        <w:rPr>
          <w:rFonts w:ascii="Arial" w:hAnsi="Arial" w:cs="Arial"/>
        </w:rPr>
        <w:t xml:space="preserve">triggers beam failure recovery </w:t>
      </w:r>
      <w:r>
        <w:rPr>
          <w:rFonts w:ascii="Arial" w:hAnsi="Arial" w:cs="Arial"/>
        </w:rPr>
        <w:t xml:space="preserve">(BFR) </w:t>
      </w:r>
      <w:r w:rsidRPr="00E9684B">
        <w:rPr>
          <w:rFonts w:ascii="Arial" w:hAnsi="Arial" w:cs="Arial"/>
        </w:rPr>
        <w:t xml:space="preserve">by initiating a </w:t>
      </w:r>
      <w:proofErr w:type="gramStart"/>
      <w:r w:rsidRPr="00E9684B">
        <w:rPr>
          <w:rFonts w:ascii="Arial" w:hAnsi="Arial" w:cs="Arial"/>
        </w:rPr>
        <w:t>Random Access</w:t>
      </w:r>
      <w:proofErr w:type="gramEnd"/>
      <w:r w:rsidRPr="00E9684B">
        <w:rPr>
          <w:rFonts w:ascii="Arial" w:hAnsi="Arial" w:cs="Arial"/>
        </w:rPr>
        <w:t xml:space="preserve"> procedure on the </w:t>
      </w:r>
      <w:r w:rsidR="00373BCD">
        <w:rPr>
          <w:rFonts w:ascii="Arial" w:hAnsi="Arial" w:cs="Arial"/>
        </w:rPr>
        <w:t xml:space="preserve">SpCell </w:t>
      </w:r>
      <w:r>
        <w:rPr>
          <w:rFonts w:ascii="Arial" w:hAnsi="Arial" w:cs="Arial"/>
        </w:rPr>
        <w:t xml:space="preserve">(or a MAC CE transmission) by selecting a </w:t>
      </w:r>
      <w:r w:rsidRPr="00E9684B">
        <w:rPr>
          <w:rFonts w:ascii="Arial" w:hAnsi="Arial" w:cs="Arial"/>
        </w:rPr>
        <w:t xml:space="preserve">suitable beam </w:t>
      </w:r>
      <w:r>
        <w:rPr>
          <w:rFonts w:ascii="Arial" w:hAnsi="Arial" w:cs="Arial"/>
        </w:rPr>
        <w:t>for random access resource selection, as described in 5.2.1 in TS 38.321</w:t>
      </w:r>
      <w:r w:rsidRPr="00E9684B">
        <w:rPr>
          <w:rFonts w:ascii="Arial" w:hAnsi="Arial" w:cs="Arial"/>
        </w:rPr>
        <w:t>.</w:t>
      </w:r>
    </w:p>
    <w:p w14:paraId="63262832" w14:textId="52AC9722" w:rsidR="00765551" w:rsidRDefault="00E9684B" w:rsidP="00E9684B">
      <w:pPr>
        <w:rPr>
          <w:rFonts w:ascii="Arial" w:hAnsi="Arial" w:cs="Arial"/>
        </w:rPr>
      </w:pPr>
      <w:r w:rsidRPr="00FA7E1B">
        <w:rPr>
          <w:rFonts w:ascii="Arial" w:hAnsi="Arial" w:cs="Arial"/>
        </w:rPr>
        <w:t xml:space="preserve">The support of </w:t>
      </w:r>
      <w:r w:rsidRPr="00765551">
        <w:rPr>
          <w:rFonts w:ascii="Arial" w:hAnsi="Arial" w:cs="Arial"/>
        </w:rPr>
        <w:t xml:space="preserve">BFD </w:t>
      </w:r>
      <w:r w:rsidR="009240E3">
        <w:rPr>
          <w:rFonts w:ascii="Arial" w:hAnsi="Arial" w:cs="Arial"/>
        </w:rPr>
        <w:t>was</w:t>
      </w:r>
      <w:r w:rsidRPr="00765551">
        <w:rPr>
          <w:rFonts w:ascii="Arial" w:hAnsi="Arial" w:cs="Arial"/>
        </w:rPr>
        <w:t xml:space="preserve"> part of the email </w:t>
      </w:r>
      <w:r w:rsidRPr="000F1A8E">
        <w:rPr>
          <w:rFonts w:ascii="Arial" w:hAnsi="Arial" w:cs="Arial"/>
        </w:rPr>
        <w:t>discussion</w:t>
      </w:r>
      <w:r w:rsidR="009240E3">
        <w:rPr>
          <w:rFonts w:ascii="Arial" w:hAnsi="Arial" w:cs="Arial"/>
        </w:rPr>
        <w:t>, but</w:t>
      </w:r>
      <w:r w:rsidRPr="000F1A8E">
        <w:rPr>
          <w:rFonts w:ascii="Arial" w:hAnsi="Arial" w:cs="Arial"/>
        </w:rPr>
        <w:t xml:space="preserve"> the summary is not conclusive</w:t>
      </w:r>
      <w:r w:rsidR="00FA7E1B" w:rsidRPr="000F1A8E">
        <w:rPr>
          <w:rFonts w:ascii="Arial" w:hAnsi="Arial" w:cs="Arial"/>
        </w:rPr>
        <w:t>. As rapporteur</w:t>
      </w:r>
      <w:r w:rsidR="00FA7E1B" w:rsidRPr="00F3779C">
        <w:rPr>
          <w:rFonts w:ascii="Arial" w:hAnsi="Arial" w:cs="Arial"/>
        </w:rPr>
        <w:t xml:space="preserve"> </w:t>
      </w:r>
      <w:r w:rsidR="00FA7E1B" w:rsidRPr="0044473A">
        <w:rPr>
          <w:rFonts w:ascii="Arial" w:hAnsi="Arial" w:cs="Arial"/>
        </w:rPr>
        <w:t>summariz</w:t>
      </w:r>
      <w:r w:rsidR="00FA7E1B" w:rsidRPr="00540DD8">
        <w:rPr>
          <w:rFonts w:ascii="Arial" w:hAnsi="Arial" w:cs="Arial"/>
        </w:rPr>
        <w:t xml:space="preserve">es, </w:t>
      </w:r>
      <w:r w:rsidR="009240E3">
        <w:rPr>
          <w:rFonts w:ascii="Arial" w:hAnsi="Arial" w:cs="Arial"/>
        </w:rPr>
        <w:t>c</w:t>
      </w:r>
      <w:r w:rsidRPr="00FA7E1B">
        <w:rPr>
          <w:rFonts w:ascii="Arial" w:hAnsi="Arial" w:cs="Arial"/>
        </w:rPr>
        <w:t xml:space="preserve">ompanies that answered </w:t>
      </w:r>
      <w:r w:rsidR="00FF3FCA">
        <w:rPr>
          <w:rFonts w:ascii="Arial" w:hAnsi="Arial" w:cs="Arial"/>
        </w:rPr>
        <w:t>“</w:t>
      </w:r>
      <w:r w:rsidRPr="00FA7E1B">
        <w:rPr>
          <w:rFonts w:ascii="Arial" w:hAnsi="Arial" w:cs="Arial"/>
        </w:rPr>
        <w:t>no</w:t>
      </w:r>
      <w:r w:rsidR="00FF3FCA">
        <w:rPr>
          <w:rFonts w:ascii="Arial" w:hAnsi="Arial" w:cs="Arial"/>
        </w:rPr>
        <w:t>”</w:t>
      </w:r>
      <w:r w:rsidRPr="00FA7E1B">
        <w:rPr>
          <w:rFonts w:ascii="Arial" w:hAnsi="Arial" w:cs="Arial"/>
        </w:rPr>
        <w:t xml:space="preserve"> consider the benefit not worth the cost while there is no data transmission via the SCG.</w:t>
      </w:r>
      <w:r w:rsidR="00FA7E1B">
        <w:rPr>
          <w:rFonts w:ascii="Arial" w:hAnsi="Arial" w:cs="Arial"/>
        </w:rPr>
        <w:t xml:space="preserve"> However, </w:t>
      </w:r>
      <w:r w:rsidR="00FA7E1B" w:rsidRPr="00765551">
        <w:rPr>
          <w:rFonts w:ascii="Arial" w:hAnsi="Arial" w:cs="Arial"/>
          <w:u w:val="single"/>
        </w:rPr>
        <w:t>readiness for SCG transmission / reception</w:t>
      </w:r>
      <w:r w:rsidR="00FA7E1B">
        <w:rPr>
          <w:rFonts w:ascii="Arial" w:hAnsi="Arial" w:cs="Arial"/>
        </w:rPr>
        <w:t xml:space="preserve"> while the SCG is deactivated should be considered as something very important (i.e. UE should be as ready as possible to be scheduled in the SCG </w:t>
      </w:r>
      <w:r w:rsidR="00203668">
        <w:rPr>
          <w:rFonts w:ascii="Arial" w:hAnsi="Arial" w:cs="Arial"/>
        </w:rPr>
        <w:t xml:space="preserve">after </w:t>
      </w:r>
      <w:r w:rsidR="00FA7E1B">
        <w:rPr>
          <w:rFonts w:ascii="Arial" w:hAnsi="Arial" w:cs="Arial"/>
        </w:rPr>
        <w:t xml:space="preserve">the SCG is </w:t>
      </w:r>
      <w:r w:rsidR="009240E3">
        <w:rPr>
          <w:rFonts w:ascii="Arial" w:hAnsi="Arial" w:cs="Arial"/>
        </w:rPr>
        <w:t>deactivated</w:t>
      </w:r>
      <w:r w:rsidR="00FA7E1B">
        <w:rPr>
          <w:rFonts w:ascii="Arial" w:hAnsi="Arial" w:cs="Arial"/>
        </w:rPr>
        <w:t>)</w:t>
      </w:r>
      <w:r w:rsidR="000F1A8E">
        <w:rPr>
          <w:rFonts w:ascii="Arial" w:hAnsi="Arial" w:cs="Arial"/>
        </w:rPr>
        <w:t xml:space="preserve"> </w:t>
      </w:r>
      <w:r w:rsidR="00FA7E1B">
        <w:rPr>
          <w:rFonts w:ascii="Arial" w:hAnsi="Arial" w:cs="Arial"/>
        </w:rPr>
        <w:t>otherwise the feature (deactivating the SCG to later activate) would not pr</w:t>
      </w:r>
      <w:r w:rsidR="009240E3">
        <w:rPr>
          <w:rFonts w:ascii="Arial" w:hAnsi="Arial" w:cs="Arial"/>
        </w:rPr>
        <w:t>esent</w:t>
      </w:r>
      <w:r w:rsidR="00FA7E1B">
        <w:rPr>
          <w:rFonts w:ascii="Arial" w:hAnsi="Arial" w:cs="Arial"/>
        </w:rPr>
        <w:t xml:space="preserve"> significant gains compared to a legacy </w:t>
      </w:r>
      <w:r w:rsidR="009240E3">
        <w:rPr>
          <w:rFonts w:ascii="Arial" w:hAnsi="Arial" w:cs="Arial"/>
        </w:rPr>
        <w:t>SCG r</w:t>
      </w:r>
      <w:r w:rsidR="00FA7E1B">
        <w:rPr>
          <w:rFonts w:ascii="Arial" w:hAnsi="Arial" w:cs="Arial"/>
        </w:rPr>
        <w:t xml:space="preserve">elease and </w:t>
      </w:r>
      <w:r w:rsidR="009240E3">
        <w:rPr>
          <w:rFonts w:ascii="Arial" w:hAnsi="Arial" w:cs="Arial"/>
        </w:rPr>
        <w:t>a</w:t>
      </w:r>
      <w:r w:rsidR="00FA7E1B">
        <w:rPr>
          <w:rFonts w:ascii="Arial" w:hAnsi="Arial" w:cs="Arial"/>
        </w:rPr>
        <w:t>dd procedure.</w:t>
      </w:r>
      <w:r w:rsidR="00765551">
        <w:rPr>
          <w:rFonts w:ascii="Arial" w:hAnsi="Arial" w:cs="Arial"/>
        </w:rPr>
        <w:t xml:space="preserve"> That is due to the fact that if BFD is not supported, and at the same time, beam management / CSI is not supported, the UE would always require random access upon activation</w:t>
      </w:r>
      <w:r w:rsidR="000F1A8E">
        <w:rPr>
          <w:rFonts w:ascii="Arial" w:hAnsi="Arial" w:cs="Arial"/>
        </w:rPr>
        <w:t>, which makes the usefulness of the feature quite questionable (as delays are comparable to Release and Add)</w:t>
      </w:r>
      <w:r w:rsidR="00AB2744">
        <w:rPr>
          <w:rFonts w:ascii="Arial" w:hAnsi="Arial" w:cs="Arial"/>
        </w:rPr>
        <w:t>, especially taking into account a time needed for resource / beam selection</w:t>
      </w:r>
      <w:r w:rsidR="000F1A8E">
        <w:rPr>
          <w:rFonts w:ascii="Arial" w:hAnsi="Arial" w:cs="Arial"/>
        </w:rPr>
        <w:t>.</w:t>
      </w:r>
      <w:r w:rsidR="00FD4423">
        <w:rPr>
          <w:rFonts w:ascii="Arial" w:hAnsi="Arial" w:cs="Arial"/>
        </w:rPr>
        <w:t xml:space="preserve"> Performing S-RLM can also help UE to maintain DL synchronization, which will reduce the activation delay for the SCG, see section 2.2. Reduced SCG activation </w:t>
      </w:r>
      <w:r w:rsidR="002045A6">
        <w:rPr>
          <w:rFonts w:ascii="Arial" w:hAnsi="Arial" w:cs="Arial"/>
        </w:rPr>
        <w:t>time</w:t>
      </w:r>
      <w:r w:rsidR="00FD4423">
        <w:rPr>
          <w:rFonts w:ascii="Arial" w:hAnsi="Arial" w:cs="Arial"/>
        </w:rPr>
        <w:t xml:space="preserve"> is important to maximize MCG offloading, see simulation results in section 2.1.</w:t>
      </w:r>
    </w:p>
    <w:p w14:paraId="6635ADAA" w14:textId="3694E68E" w:rsidR="00EB7AED" w:rsidRPr="00EB7AED" w:rsidRDefault="000F1A8E" w:rsidP="00B16922">
      <w:pPr>
        <w:pStyle w:val="Observation"/>
      </w:pPr>
      <w:bookmarkStart w:id="23" w:name="_Toc54294645"/>
      <w:r w:rsidRPr="000F1A8E">
        <w:t>If BFD</w:t>
      </w:r>
      <w:r>
        <w:t xml:space="preserve">, </w:t>
      </w:r>
      <w:r w:rsidRPr="000F1A8E">
        <w:t>beam management</w:t>
      </w:r>
      <w:r>
        <w:t xml:space="preserve">, </w:t>
      </w:r>
      <w:r w:rsidRPr="000F1A8E">
        <w:t xml:space="preserve">CSI </w:t>
      </w:r>
      <w:r>
        <w:t xml:space="preserve">are </w:t>
      </w:r>
      <w:r w:rsidRPr="000F1A8E">
        <w:t>not supported, UE always requires RACH upon SCG activation, which makes the feature questionable compared to legacy Release and Add</w:t>
      </w:r>
      <w:r w:rsidR="00A65CF7">
        <w:t xml:space="preserve"> of the SCG</w:t>
      </w:r>
      <w:r w:rsidRPr="000F1A8E">
        <w:t>.</w:t>
      </w:r>
      <w:bookmarkEnd w:id="23"/>
      <w:r w:rsidRPr="000F1A8E">
        <w:t xml:space="preserve">  </w:t>
      </w:r>
    </w:p>
    <w:p w14:paraId="1008C03B" w14:textId="64721FFD" w:rsidR="00EB7AED" w:rsidRDefault="00EB7AED" w:rsidP="00EB7AED">
      <w:pPr>
        <w:pStyle w:val="Proposal"/>
      </w:pPr>
      <w:bookmarkStart w:id="24" w:name="_Toc54294656"/>
      <w:r>
        <w:t>If possible, random access should be avoided upon SCG activation</w:t>
      </w:r>
      <w:r w:rsidR="008E784A">
        <w:t>. FFS cases where it is possible to avoid random access upon SCG activation.</w:t>
      </w:r>
      <w:bookmarkEnd w:id="24"/>
    </w:p>
    <w:p w14:paraId="41FA1C2B" w14:textId="27DBE5D2" w:rsidR="0044473A" w:rsidRDefault="0044473A" w:rsidP="00E9684B">
      <w:pPr>
        <w:rPr>
          <w:rFonts w:ascii="Arial" w:hAnsi="Arial" w:cs="Arial"/>
        </w:rPr>
      </w:pPr>
      <w:r>
        <w:rPr>
          <w:rFonts w:ascii="Arial" w:hAnsi="Arial" w:cs="Arial"/>
        </w:rPr>
        <w:t>There can be different possible alternative</w:t>
      </w:r>
      <w:r w:rsidR="00686BBC">
        <w:rPr>
          <w:rFonts w:ascii="Arial" w:hAnsi="Arial" w:cs="Arial"/>
        </w:rPr>
        <w:t>s</w:t>
      </w:r>
      <w:r>
        <w:rPr>
          <w:rFonts w:ascii="Arial" w:hAnsi="Arial" w:cs="Arial"/>
        </w:rPr>
        <w:t xml:space="preserve"> to handle BFD while SCG is deactivated.</w:t>
      </w:r>
      <w:r w:rsidR="00455651">
        <w:rPr>
          <w:rFonts w:ascii="Arial" w:hAnsi="Arial" w:cs="Arial"/>
        </w:rPr>
        <w:t xml:space="preserve"> As commented in the email discussions, </w:t>
      </w:r>
      <w:r w:rsidR="00537CFA">
        <w:rPr>
          <w:rFonts w:ascii="Arial" w:hAnsi="Arial" w:cs="Arial"/>
        </w:rPr>
        <w:t>one</w:t>
      </w:r>
      <w:r w:rsidR="00455651">
        <w:rPr>
          <w:rFonts w:ascii="Arial" w:hAnsi="Arial" w:cs="Arial"/>
        </w:rPr>
        <w:t xml:space="preserve"> possible solution is to d</w:t>
      </w:r>
      <w:r w:rsidR="00455651" w:rsidRPr="00455651">
        <w:rPr>
          <w:rFonts w:ascii="Arial" w:hAnsi="Arial" w:cs="Arial"/>
        </w:rPr>
        <w:t>elay the triggering of random access until SCG activation</w:t>
      </w:r>
      <w:r w:rsidR="002F5EEE">
        <w:rPr>
          <w:rFonts w:ascii="Arial" w:hAnsi="Arial" w:cs="Arial"/>
        </w:rPr>
        <w:t xml:space="preserve"> [1] e.g. </w:t>
      </w:r>
      <w:r w:rsidR="00455651" w:rsidRPr="00455651">
        <w:rPr>
          <w:rFonts w:ascii="Arial" w:hAnsi="Arial" w:cs="Arial"/>
        </w:rPr>
        <w:t>upon BFD the UE simply becomes aware that when it is time to activate the SCG it needs to perform random access.</w:t>
      </w:r>
    </w:p>
    <w:p w14:paraId="1856E56A" w14:textId="51AD9AC5" w:rsidR="00403876" w:rsidRDefault="000E001C" w:rsidP="00403876">
      <w:pPr>
        <w:pStyle w:val="Proposal"/>
      </w:pPr>
      <w:bookmarkStart w:id="25" w:name="_Toc54294657"/>
      <w:r>
        <w:t>T</w:t>
      </w:r>
      <w:r w:rsidR="00403876">
        <w:t>he UE performs BFD monitoring</w:t>
      </w:r>
      <w:r>
        <w:t xml:space="preserve"> for deactivated SCG</w:t>
      </w:r>
      <w:r w:rsidR="00403876">
        <w:t xml:space="preserve">. FFS Discuss </w:t>
      </w:r>
      <w:r w:rsidR="00620157">
        <w:t>actions upon BFD while SCG is deactivated.</w:t>
      </w:r>
      <w:bookmarkEnd w:id="25"/>
      <w:r w:rsidR="00620157">
        <w:t xml:space="preserve"> </w:t>
      </w:r>
    </w:p>
    <w:p w14:paraId="0CAE415B" w14:textId="77777777" w:rsidR="006E74C3" w:rsidRPr="006E74C3" w:rsidRDefault="006E74C3" w:rsidP="00B16922"/>
    <w:p w14:paraId="0F978783" w14:textId="789A9F64" w:rsidR="00170EC9" w:rsidRDefault="00170EC9" w:rsidP="0090601B">
      <w:pPr>
        <w:pStyle w:val="Heading2"/>
      </w:pPr>
      <w:r>
        <w:t>2.6</w:t>
      </w:r>
      <w:r>
        <w:tab/>
        <w:t>CSI</w:t>
      </w:r>
      <w:r w:rsidR="00C37E75">
        <w:t xml:space="preserve"> and beam management</w:t>
      </w:r>
    </w:p>
    <w:p w14:paraId="24574293" w14:textId="4BC6D780" w:rsidR="00540DD8" w:rsidRPr="00540DD8" w:rsidRDefault="00540DD8" w:rsidP="00540DD8">
      <w:pPr>
        <w:rPr>
          <w:rFonts w:ascii="Arial" w:hAnsi="Arial" w:cs="Arial"/>
        </w:rPr>
      </w:pPr>
      <w:r w:rsidRPr="00540DD8">
        <w:rPr>
          <w:rFonts w:ascii="Arial" w:hAnsi="Arial" w:cs="Arial"/>
        </w:rPr>
        <w:t xml:space="preserve">In the email </w:t>
      </w:r>
      <w:r>
        <w:rPr>
          <w:rFonts w:ascii="Arial" w:hAnsi="Arial" w:cs="Arial"/>
        </w:rPr>
        <w:t>discussion, CSI was discussed. There has been some confusion</w:t>
      </w:r>
      <w:r w:rsidR="00F163C2">
        <w:rPr>
          <w:rFonts w:ascii="Arial" w:hAnsi="Arial" w:cs="Arial"/>
        </w:rPr>
        <w:t>,</w:t>
      </w:r>
      <w:r>
        <w:rPr>
          <w:rFonts w:ascii="Arial" w:hAnsi="Arial" w:cs="Arial"/>
        </w:rPr>
        <w:t xml:space="preserve"> but in our interpretation the issue is about CSI measurements and reporting according to </w:t>
      </w:r>
      <w:proofErr w:type="spellStart"/>
      <w:r>
        <w:rPr>
          <w:rFonts w:ascii="Arial" w:hAnsi="Arial" w:cs="Arial"/>
        </w:rPr>
        <w:t>ServingCellConfig</w:t>
      </w:r>
      <w:proofErr w:type="spellEnd"/>
      <w:r>
        <w:rPr>
          <w:rFonts w:ascii="Arial" w:hAnsi="Arial" w:cs="Arial"/>
        </w:rPr>
        <w:t xml:space="preserve"> configuration i.e. for </w:t>
      </w:r>
      <w:r w:rsidR="00F163C2">
        <w:rPr>
          <w:rFonts w:ascii="Arial" w:hAnsi="Arial" w:cs="Arial"/>
        </w:rPr>
        <w:t xml:space="preserve">beam management, </w:t>
      </w:r>
      <w:r>
        <w:rPr>
          <w:rFonts w:ascii="Arial" w:hAnsi="Arial" w:cs="Arial"/>
        </w:rPr>
        <w:t>link adaptation, etc., and not RRM measurements based on CSI-RS, according to CSI-</w:t>
      </w:r>
      <w:proofErr w:type="spellStart"/>
      <w:r>
        <w:rPr>
          <w:rFonts w:ascii="Arial" w:hAnsi="Arial" w:cs="Arial"/>
        </w:rPr>
        <w:t>MeasConfig</w:t>
      </w:r>
      <w:proofErr w:type="spellEnd"/>
      <w:r>
        <w:rPr>
          <w:rFonts w:ascii="Arial" w:hAnsi="Arial" w:cs="Arial"/>
        </w:rPr>
        <w:t xml:space="preserve">. In the email discussion, </w:t>
      </w:r>
      <w:r w:rsidRPr="00540DD8">
        <w:rPr>
          <w:rFonts w:ascii="Arial" w:hAnsi="Arial" w:cs="Arial"/>
        </w:rPr>
        <w:t xml:space="preserve">11 companies answered </w:t>
      </w:r>
      <w:r w:rsidR="00FF3FCA">
        <w:rPr>
          <w:rFonts w:ascii="Arial" w:hAnsi="Arial" w:cs="Arial"/>
        </w:rPr>
        <w:t>“</w:t>
      </w:r>
      <w:r w:rsidRPr="00540DD8">
        <w:rPr>
          <w:rFonts w:ascii="Arial" w:hAnsi="Arial" w:cs="Arial"/>
        </w:rPr>
        <w:t>no</w:t>
      </w:r>
      <w:r w:rsidR="00FF3FCA">
        <w:rPr>
          <w:rFonts w:ascii="Arial" w:hAnsi="Arial" w:cs="Arial"/>
        </w:rPr>
        <w:t>”</w:t>
      </w:r>
      <w:r w:rsidRPr="00540DD8">
        <w:rPr>
          <w:rFonts w:ascii="Arial" w:hAnsi="Arial" w:cs="Arial"/>
        </w:rPr>
        <w:t xml:space="preserve">, 10 companies answered </w:t>
      </w:r>
      <w:r w:rsidR="00FF3FCA">
        <w:rPr>
          <w:rFonts w:ascii="Arial" w:hAnsi="Arial" w:cs="Arial"/>
        </w:rPr>
        <w:t>“</w:t>
      </w:r>
      <w:r w:rsidRPr="00540DD8">
        <w:rPr>
          <w:rFonts w:ascii="Arial" w:hAnsi="Arial" w:cs="Arial"/>
        </w:rPr>
        <w:t>yes</w:t>
      </w:r>
      <w:r w:rsidR="00FF3FCA">
        <w:rPr>
          <w:rFonts w:ascii="Arial" w:hAnsi="Arial" w:cs="Arial"/>
        </w:rPr>
        <w:t>”</w:t>
      </w:r>
      <w:r w:rsidRPr="00540DD8">
        <w:rPr>
          <w:rFonts w:ascii="Arial" w:hAnsi="Arial" w:cs="Arial"/>
        </w:rPr>
        <w:t xml:space="preserve">, 2 companies answered </w:t>
      </w:r>
      <w:r w:rsidR="00FF3FCA">
        <w:rPr>
          <w:rFonts w:ascii="Arial" w:hAnsi="Arial" w:cs="Arial"/>
        </w:rPr>
        <w:t>“</w:t>
      </w:r>
      <w:r w:rsidRPr="00540DD8">
        <w:rPr>
          <w:rFonts w:ascii="Arial" w:hAnsi="Arial" w:cs="Arial"/>
        </w:rPr>
        <w:t>maybe</w:t>
      </w:r>
      <w:r w:rsidR="00FF3FCA">
        <w:rPr>
          <w:rFonts w:ascii="Arial" w:hAnsi="Arial" w:cs="Arial"/>
        </w:rPr>
        <w:t>”</w:t>
      </w:r>
      <w:r w:rsidRPr="00540DD8">
        <w:rPr>
          <w:rFonts w:ascii="Arial" w:hAnsi="Arial" w:cs="Arial"/>
        </w:rPr>
        <w:t>.</w:t>
      </w:r>
    </w:p>
    <w:p w14:paraId="1E7BDF01" w14:textId="066950F4" w:rsidR="000A1526" w:rsidRDefault="00540DD8" w:rsidP="00540DD8">
      <w:pPr>
        <w:rPr>
          <w:rFonts w:ascii="Arial" w:hAnsi="Arial" w:cs="Arial"/>
        </w:rPr>
      </w:pPr>
      <w:r>
        <w:rPr>
          <w:rFonts w:ascii="Arial" w:hAnsi="Arial" w:cs="Arial"/>
        </w:rPr>
        <w:t>Rapporteur have argued that c</w:t>
      </w:r>
      <w:r w:rsidRPr="00540DD8">
        <w:rPr>
          <w:rFonts w:ascii="Arial" w:hAnsi="Arial" w:cs="Arial"/>
        </w:rPr>
        <w:t xml:space="preserve">ompanies that said </w:t>
      </w:r>
      <w:r w:rsidR="00FF3FCA">
        <w:rPr>
          <w:rFonts w:ascii="Arial" w:hAnsi="Arial" w:cs="Arial"/>
        </w:rPr>
        <w:t>“</w:t>
      </w:r>
      <w:r w:rsidRPr="00540DD8">
        <w:rPr>
          <w:rFonts w:ascii="Arial" w:hAnsi="Arial" w:cs="Arial"/>
        </w:rPr>
        <w:t>no</w:t>
      </w:r>
      <w:r w:rsidR="00FF3FCA">
        <w:rPr>
          <w:rFonts w:ascii="Arial" w:hAnsi="Arial" w:cs="Arial"/>
        </w:rPr>
        <w:t>”</w:t>
      </w:r>
      <w:r w:rsidRPr="00540DD8">
        <w:rPr>
          <w:rFonts w:ascii="Arial" w:hAnsi="Arial" w:cs="Arial"/>
        </w:rPr>
        <w:t xml:space="preserve"> seem relatively convinced</w:t>
      </w:r>
      <w:r w:rsidR="000A1526">
        <w:rPr>
          <w:rFonts w:ascii="Arial" w:hAnsi="Arial" w:cs="Arial"/>
        </w:rPr>
        <w:t xml:space="preserve">. However, these companies have ignored that the solution </w:t>
      </w:r>
      <w:r w:rsidR="00A57D67">
        <w:rPr>
          <w:rFonts w:ascii="Arial" w:hAnsi="Arial" w:cs="Arial"/>
        </w:rPr>
        <w:t xml:space="preserve">in Rel-17 </w:t>
      </w:r>
      <w:r w:rsidR="000A1526">
        <w:rPr>
          <w:rFonts w:ascii="Arial" w:hAnsi="Arial" w:cs="Arial"/>
        </w:rPr>
        <w:t>requires a deactivated SCG to be as ready as possible</w:t>
      </w:r>
      <w:r w:rsidR="00A57D67">
        <w:rPr>
          <w:rFonts w:ascii="Arial" w:hAnsi="Arial" w:cs="Arial"/>
        </w:rPr>
        <w:t xml:space="preserve"> upon SCG activation (i.e. possibly activating SCG without the need for random access) otherwise there may be no significant latency gains compared to a legacy solution based on SCG Release and Add.</w:t>
      </w:r>
    </w:p>
    <w:p w14:paraId="42A1CA28" w14:textId="036A88DA" w:rsidR="00540DD8" w:rsidRDefault="000B4063" w:rsidP="00540DD8">
      <w:pPr>
        <w:rPr>
          <w:rFonts w:ascii="Arial" w:hAnsi="Arial" w:cs="Arial"/>
        </w:rPr>
      </w:pPr>
      <w:r>
        <w:rPr>
          <w:rFonts w:ascii="Arial" w:hAnsi="Arial" w:cs="Arial"/>
        </w:rPr>
        <w:t xml:space="preserve">For the </w:t>
      </w:r>
      <w:r w:rsidR="00540DD8" w:rsidRPr="00540DD8">
        <w:rPr>
          <w:rFonts w:ascii="Arial" w:hAnsi="Arial" w:cs="Arial"/>
        </w:rPr>
        <w:t xml:space="preserve">companies that said </w:t>
      </w:r>
      <w:r w:rsidR="00FF3FCA">
        <w:rPr>
          <w:rFonts w:ascii="Arial" w:hAnsi="Arial" w:cs="Arial"/>
        </w:rPr>
        <w:t>“</w:t>
      </w:r>
      <w:r w:rsidR="00540DD8" w:rsidRPr="00540DD8">
        <w:rPr>
          <w:rFonts w:ascii="Arial" w:hAnsi="Arial" w:cs="Arial"/>
        </w:rPr>
        <w:t>yes</w:t>
      </w:r>
      <w:r w:rsidR="00FF3FCA">
        <w:rPr>
          <w:rFonts w:ascii="Arial" w:hAnsi="Arial" w:cs="Arial"/>
        </w:rPr>
        <w:t>”</w:t>
      </w:r>
      <w:r w:rsidR="00540DD8" w:rsidRPr="00540DD8">
        <w:rPr>
          <w:rFonts w:ascii="Arial" w:hAnsi="Arial" w:cs="Arial"/>
        </w:rPr>
        <w:t xml:space="preserve"> </w:t>
      </w:r>
      <w:r>
        <w:rPr>
          <w:rFonts w:ascii="Arial" w:hAnsi="Arial" w:cs="Arial"/>
        </w:rPr>
        <w:t xml:space="preserve">rapporteur have argued that companies </w:t>
      </w:r>
      <w:r w:rsidR="00540DD8" w:rsidRPr="00540DD8">
        <w:rPr>
          <w:rFonts w:ascii="Arial" w:hAnsi="Arial" w:cs="Arial"/>
        </w:rPr>
        <w:t xml:space="preserve">did not </w:t>
      </w:r>
      <w:r w:rsidR="000A1526">
        <w:rPr>
          <w:rFonts w:ascii="Arial" w:hAnsi="Arial" w:cs="Arial"/>
        </w:rPr>
        <w:t>address the issue related to reporting</w:t>
      </w:r>
      <w:r>
        <w:rPr>
          <w:rFonts w:ascii="Arial" w:hAnsi="Arial" w:cs="Arial"/>
        </w:rPr>
        <w:t>, and the following comments are provided:</w:t>
      </w:r>
    </w:p>
    <w:p w14:paraId="53D548AE" w14:textId="77DA4AC8" w:rsidR="00540DD8" w:rsidRDefault="00FF3FCA" w:rsidP="00BC34F7">
      <w:pPr>
        <w:pStyle w:val="ListParagraph"/>
        <w:numPr>
          <w:ilvl w:val="0"/>
          <w:numId w:val="25"/>
        </w:numPr>
        <w:rPr>
          <w:rFonts w:ascii="Arial" w:hAnsi="Arial" w:cs="Arial"/>
          <w:sz w:val="20"/>
          <w:szCs w:val="20"/>
        </w:rPr>
      </w:pPr>
      <w:r>
        <w:rPr>
          <w:rFonts w:ascii="Arial" w:hAnsi="Arial" w:cs="Arial"/>
          <w:sz w:val="20"/>
          <w:szCs w:val="20"/>
        </w:rPr>
        <w:t>“</w:t>
      </w:r>
      <w:r w:rsidR="00540DD8" w:rsidRPr="00B16922">
        <w:rPr>
          <w:rFonts w:ascii="Arial" w:hAnsi="Arial" w:cs="Arial"/>
          <w:sz w:val="20"/>
          <w:szCs w:val="20"/>
        </w:rPr>
        <w:t>Upon SCG activation, it is likely that the UE has to perform RACH on the SN in order to acquire UL timing. Since the RACH procedure delay is expected to be higher than the delay if UE performs CSI-RS measurements and reporting after SCG activation, the gain in terms of delay from performing CSI-RS measurements and reporting before SCG activation, i.e., in SCG deactivated state, does not seem significant.</w:t>
      </w:r>
      <w:r>
        <w:rPr>
          <w:rFonts w:ascii="Arial" w:hAnsi="Arial" w:cs="Arial"/>
          <w:sz w:val="20"/>
          <w:szCs w:val="20"/>
        </w:rPr>
        <w:t>”</w:t>
      </w:r>
    </w:p>
    <w:p w14:paraId="28E19C29" w14:textId="05C172F8" w:rsidR="000B4063" w:rsidRPr="000026FA" w:rsidRDefault="000B4063" w:rsidP="000026FA">
      <w:pPr>
        <w:ind w:left="720"/>
        <w:rPr>
          <w:rFonts w:ascii="Arial" w:hAnsi="Arial" w:cs="Arial"/>
          <w:i/>
          <w:iCs/>
        </w:rPr>
      </w:pPr>
      <w:r w:rsidRPr="000026FA">
        <w:rPr>
          <w:rFonts w:ascii="Arial" w:hAnsi="Arial" w:cs="Arial"/>
          <w:i/>
          <w:iCs/>
          <w:lang w:val="en-US"/>
        </w:rPr>
        <w:t xml:space="preserve">Ericsson view: </w:t>
      </w:r>
      <w:r w:rsidR="000F2894" w:rsidRPr="000026FA">
        <w:rPr>
          <w:rFonts w:ascii="Arial" w:hAnsi="Arial" w:cs="Arial"/>
          <w:i/>
          <w:iCs/>
          <w:lang w:val="en-US"/>
        </w:rPr>
        <w:t>The argument above has many underlaying assumption</w:t>
      </w:r>
      <w:r w:rsidR="000026FA">
        <w:rPr>
          <w:rFonts w:ascii="Arial" w:hAnsi="Arial" w:cs="Arial"/>
          <w:i/>
          <w:iCs/>
          <w:lang w:val="en-US"/>
        </w:rPr>
        <w:t>s</w:t>
      </w:r>
      <w:r w:rsidR="000F2894" w:rsidRPr="000026FA">
        <w:rPr>
          <w:rFonts w:ascii="Arial" w:hAnsi="Arial" w:cs="Arial"/>
          <w:i/>
          <w:iCs/>
          <w:lang w:val="en-US"/>
        </w:rPr>
        <w:t xml:space="preserve"> that were not discussed.</w:t>
      </w:r>
      <w:r w:rsidR="0034013D" w:rsidRPr="000026FA">
        <w:rPr>
          <w:rFonts w:ascii="Arial" w:hAnsi="Arial" w:cs="Arial"/>
          <w:i/>
          <w:iCs/>
          <w:lang w:val="en-US"/>
        </w:rPr>
        <w:t xml:space="preserve"> If UL TA is maintained as discussed in section 2.7, random access may not be needed to activate the SCG.</w:t>
      </w:r>
      <w:r w:rsidR="000F2894" w:rsidRPr="000026FA">
        <w:rPr>
          <w:rFonts w:ascii="Arial" w:hAnsi="Arial" w:cs="Arial"/>
          <w:i/>
          <w:iCs/>
          <w:lang w:val="en-US"/>
        </w:rPr>
        <w:t xml:space="preserve"> </w:t>
      </w:r>
    </w:p>
    <w:p w14:paraId="3852277C" w14:textId="79BCA006" w:rsidR="00540DD8" w:rsidRPr="000F2894" w:rsidRDefault="00FF3FCA" w:rsidP="000F2894">
      <w:pPr>
        <w:pStyle w:val="ListParagraph"/>
        <w:numPr>
          <w:ilvl w:val="0"/>
          <w:numId w:val="25"/>
        </w:numPr>
        <w:rPr>
          <w:rFonts w:ascii="Arial" w:hAnsi="Arial" w:cs="Arial"/>
          <w:sz w:val="20"/>
          <w:szCs w:val="20"/>
        </w:rPr>
      </w:pPr>
      <w:r>
        <w:rPr>
          <w:rFonts w:ascii="Arial" w:hAnsi="Arial" w:cs="Arial"/>
          <w:sz w:val="20"/>
          <w:szCs w:val="20"/>
        </w:rPr>
        <w:t>“</w:t>
      </w:r>
      <w:r w:rsidR="00540DD8" w:rsidRPr="000F2894">
        <w:rPr>
          <w:rFonts w:ascii="Arial" w:hAnsi="Arial" w:cs="Arial"/>
          <w:sz w:val="20"/>
          <w:szCs w:val="20"/>
        </w:rPr>
        <w:t xml:space="preserve"> To be able to perform CSI reporting, UE needs to maintain UL timing with the SN. Maintaining UL timing requires UE to be able to receive Timing Adjustment commands from SN through either of the </w:t>
      </w:r>
      <w:r w:rsidR="00540DD8" w:rsidRPr="000F2894">
        <w:rPr>
          <w:rFonts w:ascii="Arial" w:hAnsi="Arial" w:cs="Arial"/>
          <w:sz w:val="20"/>
          <w:szCs w:val="20"/>
        </w:rPr>
        <w:lastRenderedPageBreak/>
        <w:t>following means, one of which impacts power consumption and the other involves significant specification changes.</w:t>
      </w:r>
      <w:r>
        <w:rPr>
          <w:rFonts w:ascii="Arial" w:hAnsi="Arial" w:cs="Arial"/>
          <w:sz w:val="20"/>
          <w:szCs w:val="20"/>
        </w:rPr>
        <w:t>”</w:t>
      </w:r>
    </w:p>
    <w:p w14:paraId="7342EB11" w14:textId="148D2169" w:rsidR="00540DD8" w:rsidRPr="000026FA" w:rsidRDefault="00024D4D" w:rsidP="000026FA">
      <w:pPr>
        <w:ind w:left="720"/>
        <w:rPr>
          <w:rFonts w:ascii="Arial" w:hAnsi="Arial" w:cs="Arial"/>
          <w:i/>
          <w:iCs/>
        </w:rPr>
      </w:pPr>
      <w:r w:rsidRPr="000026FA">
        <w:rPr>
          <w:rFonts w:ascii="Arial" w:hAnsi="Arial" w:cs="Arial"/>
          <w:i/>
          <w:iCs/>
          <w:lang w:val="en-US"/>
        </w:rPr>
        <w:t xml:space="preserve">Ericsson view: </w:t>
      </w:r>
      <w:r w:rsidR="005B414D" w:rsidRPr="000026FA">
        <w:rPr>
          <w:rFonts w:ascii="Arial" w:hAnsi="Arial" w:cs="Arial"/>
          <w:i/>
          <w:iCs/>
          <w:lang w:val="en-US"/>
        </w:rPr>
        <w:t xml:space="preserve">As explained in section 2.7, UL TA could be maintained either actively </w:t>
      </w:r>
      <w:r w:rsidR="00F0518F" w:rsidRPr="000026FA">
        <w:rPr>
          <w:rFonts w:ascii="Arial" w:hAnsi="Arial" w:cs="Arial"/>
          <w:i/>
          <w:iCs/>
          <w:lang w:val="en-US"/>
        </w:rPr>
        <w:t xml:space="preserve">(based on TA command) </w:t>
      </w:r>
      <w:r w:rsidR="005B414D" w:rsidRPr="000026FA">
        <w:rPr>
          <w:rFonts w:ascii="Arial" w:hAnsi="Arial" w:cs="Arial"/>
          <w:i/>
          <w:iCs/>
          <w:lang w:val="en-US"/>
        </w:rPr>
        <w:t>or passively</w:t>
      </w:r>
      <w:r w:rsidR="00F21AC9" w:rsidRPr="000026FA">
        <w:rPr>
          <w:rFonts w:ascii="Arial" w:hAnsi="Arial" w:cs="Arial"/>
          <w:i/>
          <w:iCs/>
          <w:lang w:val="en-US"/>
        </w:rPr>
        <w:t xml:space="preserve"> (</w:t>
      </w:r>
      <w:r w:rsidR="00F0518F" w:rsidRPr="000026FA">
        <w:rPr>
          <w:rFonts w:ascii="Arial" w:hAnsi="Arial" w:cs="Arial"/>
          <w:i/>
          <w:iCs/>
          <w:lang w:val="en-US"/>
        </w:rPr>
        <w:t>based on TA timer</w:t>
      </w:r>
      <w:r w:rsidR="00F21AC9" w:rsidRPr="000026FA">
        <w:rPr>
          <w:rFonts w:ascii="Arial" w:hAnsi="Arial" w:cs="Arial"/>
          <w:i/>
          <w:iCs/>
          <w:lang w:val="en-US"/>
        </w:rPr>
        <w:t>)</w:t>
      </w:r>
      <w:r w:rsidR="005B414D" w:rsidRPr="000026FA">
        <w:rPr>
          <w:rFonts w:ascii="Arial" w:hAnsi="Arial" w:cs="Arial"/>
          <w:i/>
          <w:iCs/>
          <w:lang w:val="en-US"/>
        </w:rPr>
        <w:t xml:space="preserve">. There is not necessarily a need to receive TA commands. </w:t>
      </w:r>
    </w:p>
    <w:p w14:paraId="57672D74" w14:textId="1071E5F2" w:rsidR="00024D4D" w:rsidRDefault="00024D4D" w:rsidP="00024D4D">
      <w:pPr>
        <w:rPr>
          <w:rFonts w:ascii="Arial" w:hAnsi="Arial" w:cs="Arial"/>
        </w:rPr>
      </w:pPr>
      <w:r>
        <w:rPr>
          <w:rFonts w:ascii="Arial" w:hAnsi="Arial" w:cs="Arial"/>
        </w:rPr>
        <w:t xml:space="preserve">When it comes to the CSI feature itself, the use of it in legacy is to make sure the UE can be efficiently scheduled when the network wants to. Hence, if we want to </w:t>
      </w:r>
      <w:r w:rsidR="000026FA">
        <w:rPr>
          <w:rFonts w:ascii="Arial" w:hAnsi="Arial" w:cs="Arial"/>
        </w:rPr>
        <w:t xml:space="preserve">avoid random access upon SCG activation due to lost beam relations or </w:t>
      </w:r>
      <w:r>
        <w:rPr>
          <w:rFonts w:ascii="Arial" w:hAnsi="Arial" w:cs="Arial"/>
        </w:rPr>
        <w:t>enable the network to efficiently schedule on the SCG upon SCG activation, it seems relevant to discuss ways to report CSI. One alternative is indeed to use the SCG, but the option of reporting via the MCG should</w:t>
      </w:r>
      <w:r w:rsidR="000026FA">
        <w:rPr>
          <w:rFonts w:ascii="Arial" w:hAnsi="Arial" w:cs="Arial"/>
        </w:rPr>
        <w:t xml:space="preserve"> not</w:t>
      </w:r>
      <w:r>
        <w:rPr>
          <w:rFonts w:ascii="Arial" w:hAnsi="Arial" w:cs="Arial"/>
        </w:rPr>
        <w:t xml:space="preserve"> be </w:t>
      </w:r>
      <w:r w:rsidR="006F20FD">
        <w:rPr>
          <w:rFonts w:ascii="Arial" w:hAnsi="Arial" w:cs="Arial"/>
        </w:rPr>
        <w:t xml:space="preserve">discarded yet </w:t>
      </w:r>
      <w:r>
        <w:rPr>
          <w:rFonts w:ascii="Arial" w:hAnsi="Arial" w:cs="Arial"/>
        </w:rPr>
        <w:t xml:space="preserve">e.g. via L1 or MAC. </w:t>
      </w:r>
    </w:p>
    <w:p w14:paraId="194413BB" w14:textId="2A0482F5" w:rsidR="00024D4D" w:rsidRDefault="00024D4D" w:rsidP="00024D4D">
      <w:pPr>
        <w:pStyle w:val="Proposal"/>
      </w:pPr>
      <w:bookmarkStart w:id="26" w:name="_Toc54294658"/>
      <w:r>
        <w:t xml:space="preserve">Discuss the </w:t>
      </w:r>
      <w:r w:rsidR="000026FA">
        <w:t xml:space="preserve">possibilities to </w:t>
      </w:r>
      <w:r>
        <w:t>support SCG CSI reporting while SCG is deactivated. FFS how reporting can be enabled e.g. via SCG</w:t>
      </w:r>
      <w:r w:rsidR="00E830A9">
        <w:t xml:space="preserve"> or </w:t>
      </w:r>
      <w:r>
        <w:t>MCG</w:t>
      </w:r>
      <w:r w:rsidR="00E330C2">
        <w:t>.</w:t>
      </w:r>
      <w:bookmarkEnd w:id="26"/>
    </w:p>
    <w:p w14:paraId="08512602" w14:textId="2C2BDB77" w:rsidR="00024D4D" w:rsidRDefault="00024D4D" w:rsidP="00170EC9">
      <w:pPr>
        <w:rPr>
          <w:rFonts w:ascii="Arial" w:hAnsi="Arial" w:cs="Arial"/>
        </w:rPr>
      </w:pPr>
    </w:p>
    <w:p w14:paraId="16720203" w14:textId="0A56EC02" w:rsidR="00170EC9" w:rsidRPr="00103862" w:rsidRDefault="00170EC9" w:rsidP="00170EC9">
      <w:pPr>
        <w:pStyle w:val="Heading3"/>
        <w:rPr>
          <w:sz w:val="32"/>
          <w:szCs w:val="22"/>
          <w:lang w:eastAsia="zh-CN"/>
        </w:rPr>
      </w:pPr>
      <w:r w:rsidRPr="00103862">
        <w:rPr>
          <w:sz w:val="32"/>
          <w:szCs w:val="22"/>
        </w:rPr>
        <w:t>2.7</w:t>
      </w:r>
      <w:r w:rsidRPr="00103862">
        <w:rPr>
          <w:sz w:val="32"/>
          <w:szCs w:val="22"/>
        </w:rPr>
        <w:tab/>
        <w:t>Timing advance</w:t>
      </w:r>
    </w:p>
    <w:p w14:paraId="0859D7A0" w14:textId="63E65CD0" w:rsidR="001E03D5" w:rsidRDefault="00BF5620" w:rsidP="001C401B">
      <w:pPr>
        <w:pStyle w:val="BodyText"/>
      </w:pPr>
      <w:r w:rsidRPr="001E03D5">
        <w:t xml:space="preserve">In the email discussion, it was discussed whether to keep the TA timer running or not for deactivated SCG. </w:t>
      </w:r>
      <w:r w:rsidR="001E03D5" w:rsidRPr="001E03D5">
        <w:t>9 companies answered "no", 11 answered "yes", 3 companies answered "yes" or "depends".</w:t>
      </w:r>
      <w:r w:rsidR="001E03D5">
        <w:t xml:space="preserve"> As no clear majority was present, the proposal was to leave it FFS whether UE maintains the timing advance while SCG is deactivated. The rapporteur invited companies answering “yes” to comment on the following points:</w:t>
      </w:r>
    </w:p>
    <w:p w14:paraId="64CBE4BA" w14:textId="77777777" w:rsidR="001E03D5" w:rsidRDefault="001E03D5" w:rsidP="001E03D5">
      <w:pPr>
        <w:pStyle w:val="BodyText"/>
        <w:ind w:left="567"/>
      </w:pPr>
      <w:r>
        <w:t xml:space="preserve">1) actively maintain timing advance </w:t>
      </w:r>
      <w:proofErr w:type="gramStart"/>
      <w:r>
        <w:t>as long as</w:t>
      </w:r>
      <w:proofErr w:type="gramEnd"/>
      <w:r>
        <w:t xml:space="preserve"> the SCG is inactive (and how), or</w:t>
      </w:r>
    </w:p>
    <w:p w14:paraId="2F6F628D" w14:textId="06BFFD89" w:rsidR="001E03D5" w:rsidRPr="003411C6" w:rsidRDefault="001E03D5" w:rsidP="003411C6">
      <w:pPr>
        <w:ind w:left="567"/>
        <w:rPr>
          <w:rFonts w:ascii="Arial" w:hAnsi="Arial" w:cs="Arial"/>
          <w:i/>
          <w:iCs/>
        </w:rPr>
      </w:pPr>
      <w:r w:rsidRPr="003411C6">
        <w:rPr>
          <w:rFonts w:ascii="Arial" w:hAnsi="Arial" w:cs="Arial"/>
          <w:i/>
          <w:iCs/>
          <w:lang w:val="en-US"/>
        </w:rPr>
        <w:t xml:space="preserve">Ericsson view: actively maintaining the TA will require more complex solutions </w:t>
      </w:r>
      <w:r w:rsidR="00D65F1A" w:rsidRPr="003411C6">
        <w:rPr>
          <w:rFonts w:ascii="Arial" w:hAnsi="Arial" w:cs="Arial"/>
          <w:i/>
          <w:iCs/>
          <w:lang w:val="en-US"/>
        </w:rPr>
        <w:t xml:space="preserve">as the TA command would have to be transmitted to the UE via MCG and </w:t>
      </w:r>
      <w:r w:rsidR="003411C6">
        <w:rPr>
          <w:rFonts w:ascii="Arial" w:hAnsi="Arial" w:cs="Arial"/>
          <w:i/>
          <w:iCs/>
          <w:lang w:val="en-US"/>
        </w:rPr>
        <w:t xml:space="preserve">furthermore </w:t>
      </w:r>
      <w:r w:rsidR="00D65F1A" w:rsidRPr="003411C6">
        <w:rPr>
          <w:rFonts w:ascii="Arial" w:hAnsi="Arial" w:cs="Arial"/>
          <w:i/>
          <w:iCs/>
          <w:lang w:val="en-US"/>
        </w:rPr>
        <w:t xml:space="preserve">the network would </w:t>
      </w:r>
      <w:r w:rsidR="00D14036">
        <w:rPr>
          <w:rFonts w:ascii="Arial" w:hAnsi="Arial" w:cs="Arial"/>
          <w:i/>
          <w:iCs/>
          <w:lang w:val="en-US"/>
        </w:rPr>
        <w:t xml:space="preserve">probably </w:t>
      </w:r>
      <w:r w:rsidR="00D65F1A" w:rsidRPr="003411C6">
        <w:rPr>
          <w:rFonts w:ascii="Arial" w:hAnsi="Arial" w:cs="Arial"/>
          <w:i/>
          <w:iCs/>
          <w:lang w:val="en-US"/>
        </w:rPr>
        <w:t xml:space="preserve">need to receive some </w:t>
      </w:r>
      <w:r w:rsidR="00D14036">
        <w:rPr>
          <w:rFonts w:ascii="Arial" w:hAnsi="Arial" w:cs="Arial"/>
          <w:i/>
          <w:iCs/>
          <w:lang w:val="en-US"/>
        </w:rPr>
        <w:t>transmission</w:t>
      </w:r>
      <w:r w:rsidR="00D65F1A" w:rsidRPr="003411C6">
        <w:rPr>
          <w:rFonts w:ascii="Arial" w:hAnsi="Arial" w:cs="Arial"/>
          <w:i/>
          <w:iCs/>
          <w:lang w:val="en-US"/>
        </w:rPr>
        <w:t xml:space="preserve"> from the UE in the SCG</w:t>
      </w:r>
      <w:r w:rsidR="00D14036">
        <w:rPr>
          <w:rFonts w:ascii="Arial" w:hAnsi="Arial" w:cs="Arial"/>
          <w:i/>
          <w:iCs/>
          <w:lang w:val="en-US"/>
        </w:rPr>
        <w:t xml:space="preserve"> in order to determine the need for TA command</w:t>
      </w:r>
      <w:r w:rsidR="00D65F1A" w:rsidRPr="003411C6">
        <w:rPr>
          <w:rFonts w:ascii="Arial" w:hAnsi="Arial" w:cs="Arial"/>
          <w:i/>
          <w:iCs/>
          <w:lang w:val="en-US"/>
        </w:rPr>
        <w:t>, which would also increase UE power consumption.</w:t>
      </w:r>
    </w:p>
    <w:p w14:paraId="7D129EB7" w14:textId="6552AACD" w:rsidR="001E03D5" w:rsidRDefault="001E03D5" w:rsidP="001E03D5">
      <w:pPr>
        <w:pStyle w:val="BodyText"/>
        <w:ind w:left="567"/>
      </w:pPr>
      <w:r>
        <w:t>2) only assume that the timing advance is accurate, without any maintenance, while the TAT timer is running, or</w:t>
      </w:r>
    </w:p>
    <w:p w14:paraId="63C35B37" w14:textId="4F93DE09" w:rsidR="001E03D5" w:rsidRPr="003411C6" w:rsidRDefault="001E03D5" w:rsidP="003411C6">
      <w:pPr>
        <w:ind w:left="567"/>
        <w:rPr>
          <w:rFonts w:ascii="Arial" w:hAnsi="Arial" w:cs="Arial"/>
          <w:i/>
          <w:iCs/>
        </w:rPr>
      </w:pPr>
      <w:r w:rsidRPr="003411C6">
        <w:rPr>
          <w:rFonts w:ascii="Arial" w:hAnsi="Arial" w:cs="Arial"/>
          <w:i/>
          <w:iCs/>
          <w:lang w:val="en-US"/>
        </w:rPr>
        <w:t xml:space="preserve">Ericsson view: </w:t>
      </w:r>
      <w:r w:rsidR="00D65F1A" w:rsidRPr="003411C6">
        <w:rPr>
          <w:rFonts w:ascii="Arial" w:hAnsi="Arial" w:cs="Arial"/>
          <w:i/>
          <w:iCs/>
          <w:lang w:val="en-US"/>
        </w:rPr>
        <w:t>T</w:t>
      </w:r>
      <w:r w:rsidRPr="003411C6">
        <w:rPr>
          <w:rFonts w:ascii="Arial" w:hAnsi="Arial" w:cs="Arial"/>
          <w:i/>
          <w:iCs/>
          <w:lang w:val="en-US"/>
        </w:rPr>
        <w:t xml:space="preserve">his should be the minimum ambition level, since it does not increase complexity nor UE power consumption for the deactivated SCG. It will however allow to avoid random access in cases where SCG activation happens before TAT expiration. This may apply only for short duration of SCG in deactivated state, but on the other hand the benefit of fast </w:t>
      </w:r>
      <w:r w:rsidR="00473C75" w:rsidRPr="003411C6">
        <w:rPr>
          <w:rFonts w:ascii="Arial" w:hAnsi="Arial" w:cs="Arial"/>
          <w:i/>
          <w:iCs/>
          <w:lang w:val="en-US"/>
        </w:rPr>
        <w:t xml:space="preserve">access to </w:t>
      </w:r>
      <w:r w:rsidRPr="003411C6">
        <w:rPr>
          <w:rFonts w:ascii="Arial" w:hAnsi="Arial" w:cs="Arial"/>
          <w:i/>
          <w:iCs/>
          <w:lang w:val="en-US"/>
        </w:rPr>
        <w:t>SCG is typically higher the shorter the period of inactivity was since last activity. Furthermore, for small cell SCG, TA may be the same throughout the PSCell coverage.</w:t>
      </w:r>
    </w:p>
    <w:p w14:paraId="51874DCE" w14:textId="0DFDB188" w:rsidR="00BF5620" w:rsidRDefault="001E03D5" w:rsidP="001E03D5">
      <w:pPr>
        <w:pStyle w:val="BodyText"/>
        <w:ind w:left="567"/>
      </w:pPr>
      <w:r>
        <w:t>3) something else</w:t>
      </w:r>
    </w:p>
    <w:p w14:paraId="42EA8AEA" w14:textId="1D4553A7" w:rsidR="00473C75" w:rsidRDefault="00473C75" w:rsidP="001E03D5">
      <w:pPr>
        <w:pStyle w:val="BodyText"/>
        <w:ind w:left="567"/>
      </w:pPr>
    </w:p>
    <w:p w14:paraId="07A6F873" w14:textId="5955F116" w:rsidR="00473C75" w:rsidRPr="00473C75" w:rsidRDefault="00473C75" w:rsidP="00473C75">
      <w:pPr>
        <w:pStyle w:val="Proposal"/>
      </w:pPr>
      <w:bookmarkStart w:id="27" w:name="_Toc54294659"/>
      <w:r>
        <w:t xml:space="preserve">UE should at least assume UL TA is accurate for deactivated SCG until TA timer expires. FFS whether </w:t>
      </w:r>
      <w:r w:rsidR="00D65F1A">
        <w:t>to actively maintain TA for deactivated SCG.</w:t>
      </w:r>
      <w:bookmarkEnd w:id="27"/>
    </w:p>
    <w:p w14:paraId="41D92731" w14:textId="1DC51323" w:rsidR="00F63950" w:rsidRPr="00103862" w:rsidRDefault="00103862" w:rsidP="00103862">
      <w:pPr>
        <w:pStyle w:val="Heading2"/>
      </w:pPr>
      <w:r>
        <w:t>2.8</w:t>
      </w:r>
      <w:r>
        <w:tab/>
      </w:r>
      <w:r w:rsidRPr="00103862">
        <w:t xml:space="preserve">SCG activation </w:t>
      </w:r>
      <w:r w:rsidR="005063E3" w:rsidRPr="00103862">
        <w:t>procedure</w:t>
      </w:r>
    </w:p>
    <w:p w14:paraId="26B7C0D8" w14:textId="11FAFAD6" w:rsidR="001C401B" w:rsidRDefault="001C401B" w:rsidP="001C401B">
      <w:pPr>
        <w:pStyle w:val="BodyText"/>
        <w:rPr>
          <w:lang w:val="en-US"/>
        </w:rPr>
      </w:pPr>
      <w:r>
        <w:rPr>
          <w:lang w:val="en-US"/>
        </w:rPr>
        <w:t xml:space="preserve">In general, both MN and SN will be involved in the activation and deactivation of SCG, so some form of inter node signaling will be needed for coordination. The WI description mentions deactivating the SCG during periods of low data activity. Given that MR-DC supports both MN and SN terminated DRBs, there </w:t>
      </w:r>
      <w:r w:rsidR="00FD40E5">
        <w:rPr>
          <w:lang w:val="en-US"/>
        </w:rPr>
        <w:t>will be a need</w:t>
      </w:r>
      <w:r>
        <w:rPr>
          <w:lang w:val="en-US"/>
        </w:rPr>
        <w:t xml:space="preserve"> to</w:t>
      </w:r>
      <w:r w:rsidR="00FD40E5">
        <w:rPr>
          <w:lang w:val="en-US"/>
        </w:rPr>
        <w:t xml:space="preserve"> support</w:t>
      </w:r>
      <w:r>
        <w:rPr>
          <w:lang w:val="en-US"/>
        </w:rPr>
        <w:t xml:space="preserve"> both MN and SN initiated procedures for activation and deactivation of SCG.</w:t>
      </w:r>
      <w:r w:rsidR="00103862">
        <w:rPr>
          <w:lang w:val="en-US"/>
        </w:rPr>
        <w:t xml:space="preserve"> As baseline, we </w:t>
      </w:r>
      <w:r w:rsidR="00FD40E5">
        <w:rPr>
          <w:lang w:val="en-US"/>
        </w:rPr>
        <w:t>can assume the reuse of existing inter node procedures, see Figure 5, but the final decision should be with RAN3.</w:t>
      </w:r>
    </w:p>
    <w:p w14:paraId="10F75155" w14:textId="77777777" w:rsidR="00FD40E5" w:rsidRDefault="00FD40E5" w:rsidP="00FD40E5">
      <w:pPr>
        <w:pStyle w:val="Proposal"/>
      </w:pPr>
      <w:bookmarkStart w:id="28" w:name="_Toc54294660"/>
      <w:r>
        <w:t>Both MN and SN initiated procedures supported.</w:t>
      </w:r>
      <w:bookmarkEnd w:id="28"/>
    </w:p>
    <w:p w14:paraId="6475A993" w14:textId="77777777" w:rsidR="00FD40E5" w:rsidRPr="001C401B" w:rsidRDefault="00FD40E5" w:rsidP="001C401B">
      <w:pPr>
        <w:pStyle w:val="BodyText"/>
      </w:pPr>
    </w:p>
    <w:p w14:paraId="0FB972FC" w14:textId="7FB94972" w:rsidR="00323E31" w:rsidRDefault="00323E31" w:rsidP="00103862">
      <w:pPr>
        <w:jc w:val="center"/>
      </w:pPr>
      <w:r>
        <w:rPr>
          <w:noProof/>
        </w:rPr>
        <w:lastRenderedPageBreak/>
        <w:drawing>
          <wp:inline distT="0" distB="0" distL="0" distR="0" wp14:anchorId="2295D4D2" wp14:editId="565C5A16">
            <wp:extent cx="3223260" cy="3824229"/>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61925" cy="3870103"/>
                    </a:xfrm>
                    <a:prstGeom prst="rect">
                      <a:avLst/>
                    </a:prstGeom>
                    <a:noFill/>
                  </pic:spPr>
                </pic:pic>
              </a:graphicData>
            </a:graphic>
          </wp:inline>
        </w:drawing>
      </w:r>
    </w:p>
    <w:p w14:paraId="024396A6" w14:textId="34192963" w:rsidR="00103862" w:rsidRDefault="00103862" w:rsidP="00103862">
      <w:pPr>
        <w:pStyle w:val="Caption"/>
        <w:jc w:val="center"/>
      </w:pPr>
      <w:r>
        <w:t xml:space="preserve">Figure </w:t>
      </w:r>
      <w:r w:rsidR="00416441">
        <w:fldChar w:fldCharType="begin"/>
      </w:r>
      <w:r w:rsidR="00416441">
        <w:instrText xml:space="preserve"> SEQ Figure \* ARABIC </w:instrText>
      </w:r>
      <w:r w:rsidR="00416441">
        <w:fldChar w:fldCharType="separate"/>
      </w:r>
      <w:r>
        <w:rPr>
          <w:noProof/>
        </w:rPr>
        <w:t>5</w:t>
      </w:r>
      <w:r w:rsidR="00416441">
        <w:rPr>
          <w:noProof/>
        </w:rPr>
        <w:fldChar w:fldCharType="end"/>
      </w:r>
      <w:r>
        <w:t>: MN and SN initiated SCG activation procedure</w:t>
      </w:r>
    </w:p>
    <w:p w14:paraId="44559B2C" w14:textId="77777777" w:rsidR="00103862" w:rsidRPr="00103862" w:rsidRDefault="00103862" w:rsidP="00103862">
      <w:pPr>
        <w:rPr>
          <w:lang w:eastAsia="en-GB"/>
        </w:rPr>
      </w:pPr>
    </w:p>
    <w:p w14:paraId="7026E527" w14:textId="77777777" w:rsidR="00C01F33" w:rsidRPr="00CE0424" w:rsidRDefault="00C01F33" w:rsidP="00CE0424">
      <w:pPr>
        <w:pStyle w:val="Heading1"/>
      </w:pPr>
      <w:r w:rsidRPr="00CE0424">
        <w:t>Conclusion</w:t>
      </w:r>
    </w:p>
    <w:p w14:paraId="1F31F00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E98E351" w14:textId="77777777" w:rsidR="00353CC6"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54294641" w:history="1">
        <w:r w:rsidR="00353CC6" w:rsidRPr="00697D8D">
          <w:rPr>
            <w:rStyle w:val="Hyperlink"/>
            <w:noProof/>
          </w:rPr>
          <w:t>Observation 1</w:t>
        </w:r>
        <w:r w:rsidR="00353CC6">
          <w:rPr>
            <w:rFonts w:asciiTheme="minorHAnsi" w:eastAsiaTheme="minorEastAsia" w:hAnsiTheme="minorHAnsi" w:cstheme="minorBidi"/>
            <w:b w:val="0"/>
            <w:noProof/>
            <w:sz w:val="22"/>
            <w:szCs w:val="22"/>
            <w:lang w:eastAsia="en-GB"/>
          </w:rPr>
          <w:tab/>
        </w:r>
        <w:r w:rsidR="00353CC6" w:rsidRPr="00697D8D">
          <w:rPr>
            <w:rStyle w:val="Hyperlink"/>
            <w:noProof/>
          </w:rPr>
          <w:t>SCG activation time heavily impacts MCG offloading potential</w:t>
        </w:r>
      </w:hyperlink>
    </w:p>
    <w:p w14:paraId="6A5549C7" w14:textId="77777777" w:rsidR="00353CC6" w:rsidRDefault="00416441">
      <w:pPr>
        <w:pStyle w:val="TableofFigures"/>
        <w:tabs>
          <w:tab w:val="right" w:leader="dot" w:pos="9629"/>
        </w:tabs>
        <w:rPr>
          <w:rFonts w:asciiTheme="minorHAnsi" w:eastAsiaTheme="minorEastAsia" w:hAnsiTheme="minorHAnsi" w:cstheme="minorBidi"/>
          <w:b w:val="0"/>
          <w:noProof/>
          <w:sz w:val="22"/>
          <w:szCs w:val="22"/>
          <w:lang w:eastAsia="en-GB"/>
        </w:rPr>
      </w:pPr>
      <w:hyperlink w:anchor="_Toc54294642" w:history="1">
        <w:r w:rsidR="00353CC6" w:rsidRPr="00697D8D">
          <w:rPr>
            <w:rStyle w:val="Hyperlink"/>
            <w:noProof/>
          </w:rPr>
          <w:t>Observation 2</w:t>
        </w:r>
        <w:r w:rsidR="00353CC6">
          <w:rPr>
            <w:rFonts w:asciiTheme="minorHAnsi" w:eastAsiaTheme="minorEastAsia" w:hAnsiTheme="minorHAnsi" w:cstheme="minorBidi"/>
            <w:b w:val="0"/>
            <w:noProof/>
            <w:sz w:val="22"/>
            <w:szCs w:val="22"/>
            <w:lang w:eastAsia="en-GB"/>
          </w:rPr>
          <w:tab/>
        </w:r>
        <w:r w:rsidR="00353CC6" w:rsidRPr="00697D8D">
          <w:rPr>
            <w:rStyle w:val="Hyperlink"/>
            <w:noProof/>
            <w:lang w:val="en-US"/>
          </w:rPr>
          <w:t>The RRC and physical layer processing and the time required to establish downlink fine synchronization are the biggest delay components, especially for FR2 SCG activation, where long SMTC is desirable.</w:t>
        </w:r>
      </w:hyperlink>
    </w:p>
    <w:p w14:paraId="64FC4FB3" w14:textId="77777777" w:rsidR="00353CC6" w:rsidRDefault="00416441">
      <w:pPr>
        <w:pStyle w:val="TableofFigures"/>
        <w:tabs>
          <w:tab w:val="right" w:leader="dot" w:pos="9629"/>
        </w:tabs>
        <w:rPr>
          <w:rFonts w:asciiTheme="minorHAnsi" w:eastAsiaTheme="minorEastAsia" w:hAnsiTheme="minorHAnsi" w:cstheme="minorBidi"/>
          <w:b w:val="0"/>
          <w:noProof/>
          <w:sz w:val="22"/>
          <w:szCs w:val="22"/>
          <w:lang w:eastAsia="en-GB"/>
        </w:rPr>
      </w:pPr>
      <w:hyperlink w:anchor="_Toc54294643" w:history="1">
        <w:r w:rsidR="00353CC6" w:rsidRPr="00697D8D">
          <w:rPr>
            <w:rStyle w:val="Hyperlink"/>
            <w:noProof/>
          </w:rPr>
          <w:t>Observation 3</w:t>
        </w:r>
        <w:r w:rsidR="00353CC6">
          <w:rPr>
            <w:rFonts w:asciiTheme="minorHAnsi" w:eastAsiaTheme="minorEastAsia" w:hAnsiTheme="minorHAnsi" w:cstheme="minorBidi"/>
            <w:b w:val="0"/>
            <w:noProof/>
            <w:sz w:val="22"/>
            <w:szCs w:val="22"/>
            <w:lang w:eastAsia="en-GB"/>
          </w:rPr>
          <w:tab/>
        </w:r>
        <w:r w:rsidR="00353CC6" w:rsidRPr="00697D8D">
          <w:rPr>
            <w:rStyle w:val="Hyperlink"/>
            <w:noProof/>
          </w:rPr>
          <w:t>In case TA timer has not expired, SCG activation may not require random access.</w:t>
        </w:r>
      </w:hyperlink>
    </w:p>
    <w:p w14:paraId="3E8A8242" w14:textId="77777777" w:rsidR="00353CC6" w:rsidRDefault="00416441">
      <w:pPr>
        <w:pStyle w:val="TableofFigures"/>
        <w:tabs>
          <w:tab w:val="right" w:leader="dot" w:pos="9629"/>
        </w:tabs>
        <w:rPr>
          <w:rFonts w:asciiTheme="minorHAnsi" w:eastAsiaTheme="minorEastAsia" w:hAnsiTheme="minorHAnsi" w:cstheme="minorBidi"/>
          <w:b w:val="0"/>
          <w:noProof/>
          <w:sz w:val="22"/>
          <w:szCs w:val="22"/>
          <w:lang w:eastAsia="en-GB"/>
        </w:rPr>
      </w:pPr>
      <w:hyperlink w:anchor="_Toc54294644" w:history="1">
        <w:r w:rsidR="00353CC6" w:rsidRPr="00697D8D">
          <w:rPr>
            <w:rStyle w:val="Hyperlink"/>
            <w:noProof/>
          </w:rPr>
          <w:t>Observation 4</w:t>
        </w:r>
        <w:r w:rsidR="00353CC6">
          <w:rPr>
            <w:rFonts w:asciiTheme="minorHAnsi" w:eastAsiaTheme="minorEastAsia" w:hAnsiTheme="minorHAnsi" w:cstheme="minorBidi"/>
            <w:b w:val="0"/>
            <w:noProof/>
            <w:sz w:val="22"/>
            <w:szCs w:val="22"/>
            <w:lang w:eastAsia="en-GB"/>
          </w:rPr>
          <w:tab/>
        </w:r>
        <w:r w:rsidR="00353CC6" w:rsidRPr="00697D8D">
          <w:rPr>
            <w:rStyle w:val="Hyperlink"/>
            <w:noProof/>
          </w:rPr>
          <w:t>If SCG is deactivated, UE continues to at least perform RRM measurements according to MCG measConfig.</w:t>
        </w:r>
      </w:hyperlink>
    </w:p>
    <w:p w14:paraId="62B3FDF5" w14:textId="77777777" w:rsidR="00353CC6" w:rsidRDefault="00416441">
      <w:pPr>
        <w:pStyle w:val="TableofFigures"/>
        <w:tabs>
          <w:tab w:val="right" w:leader="dot" w:pos="9629"/>
        </w:tabs>
        <w:rPr>
          <w:rFonts w:asciiTheme="minorHAnsi" w:eastAsiaTheme="minorEastAsia" w:hAnsiTheme="minorHAnsi" w:cstheme="minorBidi"/>
          <w:b w:val="0"/>
          <w:noProof/>
          <w:sz w:val="22"/>
          <w:szCs w:val="22"/>
          <w:lang w:eastAsia="en-GB"/>
        </w:rPr>
      </w:pPr>
      <w:hyperlink w:anchor="_Toc54294645" w:history="1">
        <w:r w:rsidR="00353CC6" w:rsidRPr="00697D8D">
          <w:rPr>
            <w:rStyle w:val="Hyperlink"/>
            <w:noProof/>
          </w:rPr>
          <w:t>Observation 5</w:t>
        </w:r>
        <w:r w:rsidR="00353CC6">
          <w:rPr>
            <w:rFonts w:asciiTheme="minorHAnsi" w:eastAsiaTheme="minorEastAsia" w:hAnsiTheme="minorHAnsi" w:cstheme="minorBidi"/>
            <w:b w:val="0"/>
            <w:noProof/>
            <w:sz w:val="22"/>
            <w:szCs w:val="22"/>
            <w:lang w:eastAsia="en-GB"/>
          </w:rPr>
          <w:tab/>
        </w:r>
        <w:r w:rsidR="00353CC6" w:rsidRPr="00697D8D">
          <w:rPr>
            <w:rStyle w:val="Hyperlink"/>
            <w:noProof/>
          </w:rPr>
          <w:t>If BFD, beam management, CSI are not supported, UE always requires RACH upon SCG activation, which makes the feature questionable compared to legacy Release and Add of the SCG.</w:t>
        </w:r>
      </w:hyperlink>
    </w:p>
    <w:p w14:paraId="404323BD" w14:textId="2E2293FF"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2C0EB332" w14:textId="77777777" w:rsidR="00353CC6"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4294646" w:history="1">
        <w:r w:rsidR="00353CC6" w:rsidRPr="001B19CA">
          <w:rPr>
            <w:rStyle w:val="Hyperlink"/>
            <w:noProof/>
          </w:rPr>
          <w:t>Proposal 1</w:t>
        </w:r>
        <w:r w:rsidR="00353CC6">
          <w:rPr>
            <w:rFonts w:asciiTheme="minorHAnsi" w:eastAsiaTheme="minorEastAsia" w:hAnsiTheme="minorHAnsi" w:cstheme="minorBidi"/>
            <w:b w:val="0"/>
            <w:noProof/>
            <w:sz w:val="22"/>
            <w:szCs w:val="22"/>
            <w:lang w:eastAsia="en-GB"/>
          </w:rPr>
          <w:tab/>
        </w:r>
        <w:r w:rsidR="00353CC6" w:rsidRPr="001B19CA">
          <w:rPr>
            <w:rStyle w:val="Hyperlink"/>
            <w:noProof/>
          </w:rPr>
          <w:t>RAN2 to study the feasibility maintaining DL fine synchronization for deactivated SCG, e.g. through beam or radio link monitoring.</w:t>
        </w:r>
      </w:hyperlink>
    </w:p>
    <w:p w14:paraId="4AFD4D8B" w14:textId="77777777" w:rsidR="00353CC6" w:rsidRDefault="00416441">
      <w:pPr>
        <w:pStyle w:val="TableofFigures"/>
        <w:tabs>
          <w:tab w:val="right" w:leader="dot" w:pos="9629"/>
        </w:tabs>
        <w:rPr>
          <w:rFonts w:asciiTheme="minorHAnsi" w:eastAsiaTheme="minorEastAsia" w:hAnsiTheme="minorHAnsi" w:cstheme="minorBidi"/>
          <w:b w:val="0"/>
          <w:noProof/>
          <w:sz w:val="22"/>
          <w:szCs w:val="22"/>
          <w:lang w:eastAsia="en-GB"/>
        </w:rPr>
      </w:pPr>
      <w:hyperlink w:anchor="_Toc54294647" w:history="1">
        <w:r w:rsidR="00353CC6" w:rsidRPr="001B19CA">
          <w:rPr>
            <w:rStyle w:val="Hyperlink"/>
            <w:noProof/>
          </w:rPr>
          <w:t>Proposal 2</w:t>
        </w:r>
        <w:r w:rsidR="00353CC6">
          <w:rPr>
            <w:rFonts w:asciiTheme="minorHAnsi" w:eastAsiaTheme="minorEastAsia" w:hAnsiTheme="minorHAnsi" w:cstheme="minorBidi"/>
            <w:b w:val="0"/>
            <w:noProof/>
            <w:sz w:val="22"/>
            <w:szCs w:val="22"/>
            <w:lang w:eastAsia="en-GB"/>
          </w:rPr>
          <w:tab/>
        </w:r>
        <w:r w:rsidR="00353CC6" w:rsidRPr="001B19CA">
          <w:rPr>
            <w:rStyle w:val="Hyperlink"/>
            <w:noProof/>
          </w:rPr>
          <w:t>Define a reduced processing time for RRC reconfiguration for activating SCG with limited changes to the SCG configuration.</w:t>
        </w:r>
      </w:hyperlink>
    </w:p>
    <w:p w14:paraId="7294B92A" w14:textId="77777777" w:rsidR="00353CC6" w:rsidRDefault="00416441">
      <w:pPr>
        <w:pStyle w:val="TableofFigures"/>
        <w:tabs>
          <w:tab w:val="right" w:leader="dot" w:pos="9629"/>
        </w:tabs>
        <w:rPr>
          <w:rFonts w:asciiTheme="minorHAnsi" w:eastAsiaTheme="minorEastAsia" w:hAnsiTheme="minorHAnsi" w:cstheme="minorBidi"/>
          <w:b w:val="0"/>
          <w:noProof/>
          <w:sz w:val="22"/>
          <w:szCs w:val="22"/>
          <w:lang w:eastAsia="en-GB"/>
        </w:rPr>
      </w:pPr>
      <w:hyperlink w:anchor="_Toc54294648" w:history="1">
        <w:r w:rsidR="00353CC6" w:rsidRPr="001B19CA">
          <w:rPr>
            <w:rStyle w:val="Hyperlink"/>
            <w:noProof/>
          </w:rPr>
          <w:t>Proposal 3</w:t>
        </w:r>
        <w:r w:rsidR="00353CC6">
          <w:rPr>
            <w:rFonts w:asciiTheme="minorHAnsi" w:eastAsiaTheme="minorEastAsia" w:hAnsiTheme="minorHAnsi" w:cstheme="minorBidi"/>
            <w:b w:val="0"/>
            <w:noProof/>
            <w:sz w:val="22"/>
            <w:szCs w:val="22"/>
            <w:lang w:eastAsia="en-GB"/>
          </w:rPr>
          <w:tab/>
        </w:r>
        <w:r w:rsidR="00353CC6" w:rsidRPr="001B19CA">
          <w:rPr>
            <w:rStyle w:val="Hyperlink"/>
            <w:noProof/>
          </w:rPr>
          <w:t xml:space="preserve">Send LS to RAN4 to confirm whether </w:t>
        </w:r>
        <w:r w:rsidR="00353CC6" w:rsidRPr="001B19CA">
          <w:rPr>
            <w:rStyle w:val="Hyperlink"/>
            <w:noProof/>
            <w:lang w:val="en-US"/>
          </w:rPr>
          <w:t>T</w:t>
        </w:r>
        <w:r w:rsidR="00353CC6" w:rsidRPr="001B19CA">
          <w:rPr>
            <w:rStyle w:val="Hyperlink"/>
            <w:noProof/>
            <w:vertAlign w:val="subscript"/>
            <w:lang w:val="en-US"/>
          </w:rPr>
          <w:t>processing</w:t>
        </w:r>
        <w:r w:rsidR="00353CC6" w:rsidRPr="001B19CA">
          <w:rPr>
            <w:rStyle w:val="Hyperlink"/>
            <w:noProof/>
          </w:rPr>
          <w:t xml:space="preserve"> = 0ms could be assumed for SCG activation, without cell or frequency change.</w:t>
        </w:r>
      </w:hyperlink>
    </w:p>
    <w:p w14:paraId="4E908122" w14:textId="77777777" w:rsidR="00353CC6" w:rsidRDefault="00416441">
      <w:pPr>
        <w:pStyle w:val="TableofFigures"/>
        <w:tabs>
          <w:tab w:val="right" w:leader="dot" w:pos="9629"/>
        </w:tabs>
        <w:rPr>
          <w:rFonts w:asciiTheme="minorHAnsi" w:eastAsiaTheme="minorEastAsia" w:hAnsiTheme="minorHAnsi" w:cstheme="minorBidi"/>
          <w:b w:val="0"/>
          <w:noProof/>
          <w:sz w:val="22"/>
          <w:szCs w:val="22"/>
          <w:lang w:eastAsia="en-GB"/>
        </w:rPr>
      </w:pPr>
      <w:hyperlink w:anchor="_Toc54294649" w:history="1">
        <w:r w:rsidR="00353CC6" w:rsidRPr="001B19CA">
          <w:rPr>
            <w:rStyle w:val="Hyperlink"/>
            <w:noProof/>
          </w:rPr>
          <w:t>Proposal 4</w:t>
        </w:r>
        <w:r w:rsidR="00353CC6">
          <w:rPr>
            <w:rFonts w:asciiTheme="minorHAnsi" w:eastAsiaTheme="minorEastAsia" w:hAnsiTheme="minorHAnsi" w:cstheme="minorBidi"/>
            <w:b w:val="0"/>
            <w:noProof/>
            <w:sz w:val="22"/>
            <w:szCs w:val="22"/>
            <w:lang w:eastAsia="en-GB"/>
          </w:rPr>
          <w:tab/>
        </w:r>
        <w:r w:rsidR="00353CC6" w:rsidRPr="001B19CA">
          <w:rPr>
            <w:rStyle w:val="Hyperlink"/>
            <w:noProof/>
          </w:rPr>
          <w:t>If SCG is deactivated, UE continues to perform PSCell measurements based on SN configuration.</w:t>
        </w:r>
      </w:hyperlink>
    </w:p>
    <w:p w14:paraId="18B6DF61" w14:textId="77777777" w:rsidR="00353CC6" w:rsidRDefault="00416441">
      <w:pPr>
        <w:pStyle w:val="TableofFigures"/>
        <w:tabs>
          <w:tab w:val="right" w:leader="dot" w:pos="9629"/>
        </w:tabs>
        <w:rPr>
          <w:rFonts w:asciiTheme="minorHAnsi" w:eastAsiaTheme="minorEastAsia" w:hAnsiTheme="minorHAnsi" w:cstheme="minorBidi"/>
          <w:b w:val="0"/>
          <w:noProof/>
          <w:sz w:val="22"/>
          <w:szCs w:val="22"/>
          <w:lang w:eastAsia="en-GB"/>
        </w:rPr>
      </w:pPr>
      <w:hyperlink w:anchor="_Toc54294650" w:history="1">
        <w:r w:rsidR="00353CC6" w:rsidRPr="001B19CA">
          <w:rPr>
            <w:rStyle w:val="Hyperlink"/>
            <w:noProof/>
          </w:rPr>
          <w:t>Proposal 5</w:t>
        </w:r>
        <w:r w:rsidR="00353CC6">
          <w:rPr>
            <w:rFonts w:asciiTheme="minorHAnsi" w:eastAsiaTheme="minorEastAsia" w:hAnsiTheme="minorHAnsi" w:cstheme="minorBidi"/>
            <w:b w:val="0"/>
            <w:noProof/>
            <w:sz w:val="22"/>
            <w:szCs w:val="22"/>
            <w:lang w:eastAsia="en-GB"/>
          </w:rPr>
          <w:tab/>
        </w:r>
        <w:r w:rsidR="00353CC6" w:rsidRPr="001B19CA">
          <w:rPr>
            <w:rStyle w:val="Hyperlink"/>
            <w:noProof/>
          </w:rPr>
          <w:t>If SCG is deactivated, FFS whether UE continues to perform SCG SCell measurements.</w:t>
        </w:r>
      </w:hyperlink>
    </w:p>
    <w:p w14:paraId="3AA4408A" w14:textId="77777777" w:rsidR="00353CC6" w:rsidRDefault="00416441">
      <w:pPr>
        <w:pStyle w:val="TableofFigures"/>
        <w:tabs>
          <w:tab w:val="right" w:leader="dot" w:pos="9629"/>
        </w:tabs>
        <w:rPr>
          <w:rFonts w:asciiTheme="minorHAnsi" w:eastAsiaTheme="minorEastAsia" w:hAnsiTheme="minorHAnsi" w:cstheme="minorBidi"/>
          <w:b w:val="0"/>
          <w:noProof/>
          <w:sz w:val="22"/>
          <w:szCs w:val="22"/>
          <w:lang w:eastAsia="en-GB"/>
        </w:rPr>
      </w:pPr>
      <w:hyperlink w:anchor="_Toc54294651" w:history="1">
        <w:r w:rsidR="00353CC6" w:rsidRPr="001B19CA">
          <w:rPr>
            <w:rStyle w:val="Hyperlink"/>
            <w:noProof/>
          </w:rPr>
          <w:t>Proposal 6</w:t>
        </w:r>
        <w:r w:rsidR="00353CC6">
          <w:rPr>
            <w:rFonts w:asciiTheme="minorHAnsi" w:eastAsiaTheme="minorEastAsia" w:hAnsiTheme="minorHAnsi" w:cstheme="minorBidi"/>
            <w:b w:val="0"/>
            <w:noProof/>
            <w:sz w:val="22"/>
            <w:szCs w:val="22"/>
            <w:lang w:eastAsia="en-GB"/>
          </w:rPr>
          <w:tab/>
        </w:r>
        <w:r w:rsidR="00353CC6" w:rsidRPr="001B19CA">
          <w:rPr>
            <w:rStyle w:val="Hyperlink"/>
            <w:noProof/>
          </w:rPr>
          <w:t>SCG mobility is supported while SCG is deactivated.</w:t>
        </w:r>
      </w:hyperlink>
    </w:p>
    <w:p w14:paraId="4A4CBFBB" w14:textId="77777777" w:rsidR="00353CC6" w:rsidRDefault="00416441">
      <w:pPr>
        <w:pStyle w:val="TableofFigures"/>
        <w:tabs>
          <w:tab w:val="right" w:leader="dot" w:pos="9629"/>
        </w:tabs>
        <w:rPr>
          <w:rFonts w:asciiTheme="minorHAnsi" w:eastAsiaTheme="minorEastAsia" w:hAnsiTheme="minorHAnsi" w:cstheme="minorBidi"/>
          <w:b w:val="0"/>
          <w:noProof/>
          <w:sz w:val="22"/>
          <w:szCs w:val="22"/>
          <w:lang w:eastAsia="en-GB"/>
        </w:rPr>
      </w:pPr>
      <w:hyperlink w:anchor="_Toc54294652" w:history="1">
        <w:r w:rsidR="00353CC6" w:rsidRPr="001B19CA">
          <w:rPr>
            <w:rStyle w:val="Hyperlink"/>
            <w:noProof/>
          </w:rPr>
          <w:t>Proposal 7</w:t>
        </w:r>
        <w:r w:rsidR="00353CC6">
          <w:rPr>
            <w:rFonts w:asciiTheme="minorHAnsi" w:eastAsiaTheme="minorEastAsia" w:hAnsiTheme="minorHAnsi" w:cstheme="minorBidi"/>
            <w:b w:val="0"/>
            <w:noProof/>
            <w:sz w:val="22"/>
            <w:szCs w:val="22"/>
            <w:lang w:eastAsia="en-GB"/>
          </w:rPr>
          <w:tab/>
        </w:r>
        <w:r w:rsidR="00353CC6" w:rsidRPr="001B19CA">
          <w:rPr>
            <w:rStyle w:val="Hyperlink"/>
            <w:noProof/>
          </w:rPr>
          <w:t>If SCG is deactivated, UE continues to perform SCG measurements for at least the measId(s) associated to events A3/A5. FFS other measurements.</w:t>
        </w:r>
      </w:hyperlink>
    </w:p>
    <w:p w14:paraId="7D643B5A" w14:textId="77777777" w:rsidR="00353CC6" w:rsidRDefault="00416441">
      <w:pPr>
        <w:pStyle w:val="TableofFigures"/>
        <w:tabs>
          <w:tab w:val="right" w:leader="dot" w:pos="9629"/>
        </w:tabs>
        <w:rPr>
          <w:rFonts w:asciiTheme="minorHAnsi" w:eastAsiaTheme="minorEastAsia" w:hAnsiTheme="minorHAnsi" w:cstheme="minorBidi"/>
          <w:b w:val="0"/>
          <w:noProof/>
          <w:sz w:val="22"/>
          <w:szCs w:val="22"/>
          <w:lang w:eastAsia="en-GB"/>
        </w:rPr>
      </w:pPr>
      <w:hyperlink w:anchor="_Toc54294653" w:history="1">
        <w:r w:rsidR="00353CC6" w:rsidRPr="001B19CA">
          <w:rPr>
            <w:rStyle w:val="Hyperlink"/>
            <w:noProof/>
          </w:rPr>
          <w:t>Proposal 8</w:t>
        </w:r>
        <w:r w:rsidR="00353CC6">
          <w:rPr>
            <w:rFonts w:asciiTheme="minorHAnsi" w:eastAsiaTheme="minorEastAsia" w:hAnsiTheme="minorHAnsi" w:cstheme="minorBidi"/>
            <w:b w:val="0"/>
            <w:noProof/>
            <w:sz w:val="22"/>
            <w:szCs w:val="22"/>
            <w:lang w:eastAsia="en-GB"/>
          </w:rPr>
          <w:tab/>
        </w:r>
        <w:r w:rsidR="00353CC6" w:rsidRPr="001B19CA">
          <w:rPr>
            <w:rStyle w:val="Hyperlink"/>
            <w:noProof/>
          </w:rPr>
          <w:t>MCG mobility is supported while SCG is deactivated.</w:t>
        </w:r>
      </w:hyperlink>
    </w:p>
    <w:p w14:paraId="0945E469" w14:textId="77777777" w:rsidR="00353CC6" w:rsidRDefault="00416441">
      <w:pPr>
        <w:pStyle w:val="TableofFigures"/>
        <w:tabs>
          <w:tab w:val="right" w:leader="dot" w:pos="9629"/>
        </w:tabs>
        <w:rPr>
          <w:rFonts w:asciiTheme="minorHAnsi" w:eastAsiaTheme="minorEastAsia" w:hAnsiTheme="minorHAnsi" w:cstheme="minorBidi"/>
          <w:b w:val="0"/>
          <w:noProof/>
          <w:sz w:val="22"/>
          <w:szCs w:val="22"/>
          <w:lang w:eastAsia="en-GB"/>
        </w:rPr>
      </w:pPr>
      <w:hyperlink w:anchor="_Toc54294654" w:history="1">
        <w:r w:rsidR="00353CC6" w:rsidRPr="001B19CA">
          <w:rPr>
            <w:rStyle w:val="Hyperlink"/>
            <w:noProof/>
          </w:rPr>
          <w:t>Proposal 9</w:t>
        </w:r>
        <w:r w:rsidR="00353CC6">
          <w:rPr>
            <w:rFonts w:asciiTheme="minorHAnsi" w:eastAsiaTheme="minorEastAsia" w:hAnsiTheme="minorHAnsi" w:cstheme="minorBidi"/>
            <w:b w:val="0"/>
            <w:noProof/>
            <w:sz w:val="22"/>
            <w:szCs w:val="22"/>
            <w:lang w:eastAsia="en-GB"/>
          </w:rPr>
          <w:tab/>
        </w:r>
        <w:r w:rsidR="00353CC6" w:rsidRPr="001B19CA">
          <w:rPr>
            <w:rStyle w:val="Hyperlink"/>
            <w:noProof/>
          </w:rPr>
          <w:t>Discuss, together with RAN4, relaxed RRM measurements requirement for the case the SCG is deactivated.</w:t>
        </w:r>
      </w:hyperlink>
    </w:p>
    <w:p w14:paraId="5958353C" w14:textId="77777777" w:rsidR="00353CC6" w:rsidRDefault="00416441">
      <w:pPr>
        <w:pStyle w:val="TableofFigures"/>
        <w:tabs>
          <w:tab w:val="right" w:leader="dot" w:pos="9629"/>
        </w:tabs>
        <w:rPr>
          <w:rFonts w:asciiTheme="minorHAnsi" w:eastAsiaTheme="minorEastAsia" w:hAnsiTheme="minorHAnsi" w:cstheme="minorBidi"/>
          <w:b w:val="0"/>
          <w:noProof/>
          <w:sz w:val="22"/>
          <w:szCs w:val="22"/>
          <w:lang w:eastAsia="en-GB"/>
        </w:rPr>
      </w:pPr>
      <w:hyperlink w:anchor="_Toc54294655" w:history="1">
        <w:r w:rsidR="00353CC6" w:rsidRPr="001B19CA">
          <w:rPr>
            <w:rStyle w:val="Hyperlink"/>
            <w:noProof/>
          </w:rPr>
          <w:t>Proposal 10</w:t>
        </w:r>
        <w:r w:rsidR="00353CC6">
          <w:rPr>
            <w:rFonts w:asciiTheme="minorHAnsi" w:eastAsiaTheme="minorEastAsia" w:hAnsiTheme="minorHAnsi" w:cstheme="minorBidi"/>
            <w:b w:val="0"/>
            <w:noProof/>
            <w:sz w:val="22"/>
            <w:szCs w:val="22"/>
            <w:lang w:eastAsia="en-GB"/>
          </w:rPr>
          <w:tab/>
        </w:r>
        <w:r w:rsidR="00353CC6" w:rsidRPr="001B19CA">
          <w:rPr>
            <w:rStyle w:val="Hyperlink"/>
            <w:noProof/>
          </w:rPr>
          <w:t>If SCG is deactivated, UE performs some level of S-RLM and SCG failure information procedure is supported to report the failure. Exact behaviour to be discussed after beam management and CSI for deactivated SCG is defined.</w:t>
        </w:r>
      </w:hyperlink>
    </w:p>
    <w:p w14:paraId="27FF1544" w14:textId="77777777" w:rsidR="00353CC6" w:rsidRDefault="00416441">
      <w:pPr>
        <w:pStyle w:val="TableofFigures"/>
        <w:tabs>
          <w:tab w:val="right" w:leader="dot" w:pos="9629"/>
        </w:tabs>
        <w:rPr>
          <w:rFonts w:asciiTheme="minorHAnsi" w:eastAsiaTheme="minorEastAsia" w:hAnsiTheme="minorHAnsi" w:cstheme="minorBidi"/>
          <w:b w:val="0"/>
          <w:noProof/>
          <w:sz w:val="22"/>
          <w:szCs w:val="22"/>
          <w:lang w:eastAsia="en-GB"/>
        </w:rPr>
      </w:pPr>
      <w:hyperlink w:anchor="_Toc54294656" w:history="1">
        <w:r w:rsidR="00353CC6" w:rsidRPr="001B19CA">
          <w:rPr>
            <w:rStyle w:val="Hyperlink"/>
            <w:noProof/>
          </w:rPr>
          <w:t>Proposal 11</w:t>
        </w:r>
        <w:r w:rsidR="00353CC6">
          <w:rPr>
            <w:rFonts w:asciiTheme="minorHAnsi" w:eastAsiaTheme="minorEastAsia" w:hAnsiTheme="minorHAnsi" w:cstheme="minorBidi"/>
            <w:b w:val="0"/>
            <w:noProof/>
            <w:sz w:val="22"/>
            <w:szCs w:val="22"/>
            <w:lang w:eastAsia="en-GB"/>
          </w:rPr>
          <w:tab/>
        </w:r>
        <w:r w:rsidR="00353CC6" w:rsidRPr="001B19CA">
          <w:rPr>
            <w:rStyle w:val="Hyperlink"/>
            <w:noProof/>
          </w:rPr>
          <w:t>If possible, random access should be avoided upon SCG activation. FFS cases where it is possible to avoid random access upon SCG activation.</w:t>
        </w:r>
      </w:hyperlink>
    </w:p>
    <w:p w14:paraId="7FDF9CB4" w14:textId="77777777" w:rsidR="00353CC6" w:rsidRDefault="00416441">
      <w:pPr>
        <w:pStyle w:val="TableofFigures"/>
        <w:tabs>
          <w:tab w:val="right" w:leader="dot" w:pos="9629"/>
        </w:tabs>
        <w:rPr>
          <w:rFonts w:asciiTheme="minorHAnsi" w:eastAsiaTheme="minorEastAsia" w:hAnsiTheme="minorHAnsi" w:cstheme="minorBidi"/>
          <w:b w:val="0"/>
          <w:noProof/>
          <w:sz w:val="22"/>
          <w:szCs w:val="22"/>
          <w:lang w:eastAsia="en-GB"/>
        </w:rPr>
      </w:pPr>
      <w:hyperlink w:anchor="_Toc54294657" w:history="1">
        <w:r w:rsidR="00353CC6" w:rsidRPr="001B19CA">
          <w:rPr>
            <w:rStyle w:val="Hyperlink"/>
            <w:noProof/>
          </w:rPr>
          <w:t>Proposal 12</w:t>
        </w:r>
        <w:r w:rsidR="00353CC6">
          <w:rPr>
            <w:rFonts w:asciiTheme="minorHAnsi" w:eastAsiaTheme="minorEastAsia" w:hAnsiTheme="minorHAnsi" w:cstheme="minorBidi"/>
            <w:b w:val="0"/>
            <w:noProof/>
            <w:sz w:val="22"/>
            <w:szCs w:val="22"/>
            <w:lang w:eastAsia="en-GB"/>
          </w:rPr>
          <w:tab/>
        </w:r>
        <w:r w:rsidR="00353CC6" w:rsidRPr="001B19CA">
          <w:rPr>
            <w:rStyle w:val="Hyperlink"/>
            <w:noProof/>
          </w:rPr>
          <w:t>The UE performs BFD monitoring for deactivated SCG. FFS Discuss actions upon BFD while SCG is deactivated.</w:t>
        </w:r>
      </w:hyperlink>
    </w:p>
    <w:p w14:paraId="408B9EC6" w14:textId="77777777" w:rsidR="00353CC6" w:rsidRDefault="00416441">
      <w:pPr>
        <w:pStyle w:val="TableofFigures"/>
        <w:tabs>
          <w:tab w:val="right" w:leader="dot" w:pos="9629"/>
        </w:tabs>
        <w:rPr>
          <w:rFonts w:asciiTheme="minorHAnsi" w:eastAsiaTheme="minorEastAsia" w:hAnsiTheme="minorHAnsi" w:cstheme="minorBidi"/>
          <w:b w:val="0"/>
          <w:noProof/>
          <w:sz w:val="22"/>
          <w:szCs w:val="22"/>
          <w:lang w:eastAsia="en-GB"/>
        </w:rPr>
      </w:pPr>
      <w:hyperlink w:anchor="_Toc54294658" w:history="1">
        <w:r w:rsidR="00353CC6" w:rsidRPr="001B19CA">
          <w:rPr>
            <w:rStyle w:val="Hyperlink"/>
            <w:noProof/>
          </w:rPr>
          <w:t>Proposal 13</w:t>
        </w:r>
        <w:r w:rsidR="00353CC6">
          <w:rPr>
            <w:rFonts w:asciiTheme="minorHAnsi" w:eastAsiaTheme="minorEastAsia" w:hAnsiTheme="minorHAnsi" w:cstheme="minorBidi"/>
            <w:b w:val="0"/>
            <w:noProof/>
            <w:sz w:val="22"/>
            <w:szCs w:val="22"/>
            <w:lang w:eastAsia="en-GB"/>
          </w:rPr>
          <w:tab/>
        </w:r>
        <w:r w:rsidR="00353CC6" w:rsidRPr="001B19CA">
          <w:rPr>
            <w:rStyle w:val="Hyperlink"/>
            <w:noProof/>
          </w:rPr>
          <w:t>Discuss the possibilities to support SCG CSI reporting while SCG is deactivated. FFS how reporting can be enabled e.g. via SCG or MCG.</w:t>
        </w:r>
      </w:hyperlink>
    </w:p>
    <w:p w14:paraId="4756F5A9" w14:textId="77777777" w:rsidR="00353CC6" w:rsidRDefault="00416441">
      <w:pPr>
        <w:pStyle w:val="TableofFigures"/>
        <w:tabs>
          <w:tab w:val="right" w:leader="dot" w:pos="9629"/>
        </w:tabs>
        <w:rPr>
          <w:rFonts w:asciiTheme="minorHAnsi" w:eastAsiaTheme="minorEastAsia" w:hAnsiTheme="minorHAnsi" w:cstheme="minorBidi"/>
          <w:b w:val="0"/>
          <w:noProof/>
          <w:sz w:val="22"/>
          <w:szCs w:val="22"/>
          <w:lang w:eastAsia="en-GB"/>
        </w:rPr>
      </w:pPr>
      <w:hyperlink w:anchor="_Toc54294659" w:history="1">
        <w:r w:rsidR="00353CC6" w:rsidRPr="001B19CA">
          <w:rPr>
            <w:rStyle w:val="Hyperlink"/>
            <w:noProof/>
          </w:rPr>
          <w:t>Proposal 14</w:t>
        </w:r>
        <w:r w:rsidR="00353CC6">
          <w:rPr>
            <w:rFonts w:asciiTheme="minorHAnsi" w:eastAsiaTheme="minorEastAsia" w:hAnsiTheme="minorHAnsi" w:cstheme="minorBidi"/>
            <w:b w:val="0"/>
            <w:noProof/>
            <w:sz w:val="22"/>
            <w:szCs w:val="22"/>
            <w:lang w:eastAsia="en-GB"/>
          </w:rPr>
          <w:tab/>
        </w:r>
        <w:r w:rsidR="00353CC6" w:rsidRPr="001B19CA">
          <w:rPr>
            <w:rStyle w:val="Hyperlink"/>
            <w:noProof/>
          </w:rPr>
          <w:t>UE should at least assume UL TA is accurate for deactivated SCG until TA timer expires. FFS whether to actively maintain TA for deactivated SCG.</w:t>
        </w:r>
      </w:hyperlink>
    </w:p>
    <w:p w14:paraId="6E1B252A" w14:textId="77777777" w:rsidR="00353CC6" w:rsidRDefault="00416441">
      <w:pPr>
        <w:pStyle w:val="TableofFigures"/>
        <w:tabs>
          <w:tab w:val="right" w:leader="dot" w:pos="9629"/>
        </w:tabs>
        <w:rPr>
          <w:rFonts w:asciiTheme="minorHAnsi" w:eastAsiaTheme="minorEastAsia" w:hAnsiTheme="minorHAnsi" w:cstheme="minorBidi"/>
          <w:b w:val="0"/>
          <w:noProof/>
          <w:sz w:val="22"/>
          <w:szCs w:val="22"/>
          <w:lang w:eastAsia="en-GB"/>
        </w:rPr>
      </w:pPr>
      <w:hyperlink w:anchor="_Toc54294660" w:history="1">
        <w:r w:rsidR="00353CC6" w:rsidRPr="001B19CA">
          <w:rPr>
            <w:rStyle w:val="Hyperlink"/>
            <w:noProof/>
          </w:rPr>
          <w:t>Proposal 15</w:t>
        </w:r>
        <w:r w:rsidR="00353CC6">
          <w:rPr>
            <w:rFonts w:asciiTheme="minorHAnsi" w:eastAsiaTheme="minorEastAsia" w:hAnsiTheme="minorHAnsi" w:cstheme="minorBidi"/>
            <w:b w:val="0"/>
            <w:noProof/>
            <w:sz w:val="22"/>
            <w:szCs w:val="22"/>
            <w:lang w:eastAsia="en-GB"/>
          </w:rPr>
          <w:tab/>
        </w:r>
        <w:r w:rsidR="00353CC6" w:rsidRPr="001B19CA">
          <w:rPr>
            <w:rStyle w:val="Hyperlink"/>
            <w:noProof/>
          </w:rPr>
          <w:t>Both MN and SN initiated procedures supported.</w:t>
        </w:r>
      </w:hyperlink>
    </w:p>
    <w:p w14:paraId="38AEB139" w14:textId="226DB51F" w:rsidR="006E1C82" w:rsidRPr="00CE0424" w:rsidRDefault="006E1C82" w:rsidP="006E1C82">
      <w:pPr>
        <w:pStyle w:val="BodyText"/>
        <w:rPr>
          <w:b/>
          <w:bCs/>
        </w:rPr>
      </w:pPr>
      <w:r>
        <w:rPr>
          <w:b/>
          <w:bCs/>
          <w:lang w:val="en-US"/>
        </w:rPr>
        <w:fldChar w:fldCharType="end"/>
      </w:r>
      <w:r w:rsidRPr="00CE0424">
        <w:rPr>
          <w:b/>
          <w:bCs/>
        </w:rPr>
        <w:t xml:space="preserve"> </w:t>
      </w:r>
    </w:p>
    <w:p w14:paraId="409E695F" w14:textId="77777777" w:rsidR="00F507D1" w:rsidRPr="00CE0424" w:rsidRDefault="00F507D1" w:rsidP="00CE0424">
      <w:pPr>
        <w:pStyle w:val="Heading1"/>
      </w:pPr>
      <w:bookmarkStart w:id="29" w:name="_In-sequence_SDU_delivery"/>
      <w:bookmarkEnd w:id="29"/>
      <w:r w:rsidRPr="00CE0424">
        <w:t>References</w:t>
      </w:r>
    </w:p>
    <w:p w14:paraId="183D39A0" w14:textId="2E44950A" w:rsidR="005F3025" w:rsidRPr="00CE0424" w:rsidRDefault="00F756B5" w:rsidP="00311702">
      <w:pPr>
        <w:pStyle w:val="Reference"/>
      </w:pPr>
      <w:bookmarkStart w:id="30" w:name="_Ref53453896"/>
      <w:bookmarkStart w:id="31" w:name="_Ref174151459"/>
      <w:bookmarkStart w:id="32" w:name="_Ref189809556"/>
      <w:r>
        <w:t>R2-20xxxxx, [</w:t>
      </w:r>
      <w:r w:rsidR="00F30700">
        <w:t>Post</w:t>
      </w:r>
      <w:r>
        <w:t>111</w:t>
      </w:r>
      <w:r w:rsidR="00F30700">
        <w:t>-</w:t>
      </w:r>
      <w:r>
        <w:t>e][</w:t>
      </w:r>
      <w:proofErr w:type="gramStart"/>
      <w:r>
        <w:t>919]</w:t>
      </w:r>
      <w:r w:rsidR="00F30700">
        <w:t>[</w:t>
      </w:r>
      <w:proofErr w:type="spellStart"/>
      <w:proofErr w:type="gramEnd"/>
      <w:r w:rsidR="00F30700">
        <w:t>eDDCA</w:t>
      </w:r>
      <w:proofErr w:type="spellEnd"/>
      <w:r w:rsidR="00F30700">
        <w:t>] Efficient (de)activation of SCG summary</w:t>
      </w:r>
      <w:r>
        <w:t>, Huawei</w:t>
      </w:r>
      <w:bookmarkEnd w:id="30"/>
    </w:p>
    <w:p w14:paraId="7FD866DE" w14:textId="49E1C1B0" w:rsidR="005F3025" w:rsidRDefault="00C4235B" w:rsidP="004E66CB">
      <w:pPr>
        <w:pStyle w:val="Reference"/>
      </w:pPr>
      <w:bookmarkStart w:id="33" w:name="_Ref54166707"/>
      <w:r>
        <w:t>3GPP TS 38.133</w:t>
      </w:r>
      <w:bookmarkEnd w:id="33"/>
      <w:r w:rsidR="00CF4AC3">
        <w:t xml:space="preserve">, </w:t>
      </w:r>
      <w:r w:rsidR="004E66CB">
        <w:t>Requirements for support of radio resource management (Release 16)</w:t>
      </w:r>
    </w:p>
    <w:p w14:paraId="2FCF7C43" w14:textId="780C2DDC" w:rsidR="00CF4AC3" w:rsidRPr="00CE0424" w:rsidRDefault="00CF4AC3" w:rsidP="00311702">
      <w:pPr>
        <w:pStyle w:val="Reference"/>
      </w:pPr>
      <w:r>
        <w:t>3GPP TS 38.213, Physical layer procedures for control (Release 16)</w:t>
      </w:r>
    </w:p>
    <w:bookmarkEnd w:id="31"/>
    <w:bookmarkEnd w:id="32"/>
    <w:p w14:paraId="2BEF583F" w14:textId="594DE0AF" w:rsidR="003A7EF3" w:rsidRDefault="003A7EF3" w:rsidP="00CE0424">
      <w:pPr>
        <w:pStyle w:val="BodyText"/>
      </w:pPr>
    </w:p>
    <w:p w14:paraId="1BB1804E" w14:textId="49CF87CC" w:rsidR="00FF3FCA" w:rsidRDefault="00FF3FCA" w:rsidP="00FF3FCA">
      <w:pPr>
        <w:pStyle w:val="Heading1"/>
      </w:pPr>
      <w:r>
        <w:t xml:space="preserve">Annex A: Draft LS to RAN4 of </w:t>
      </w:r>
      <w:proofErr w:type="spellStart"/>
      <w:r>
        <w:t>T</w:t>
      </w:r>
      <w:r w:rsidRPr="00FF3FCA">
        <w:rPr>
          <w:vertAlign w:val="subscript"/>
        </w:rPr>
        <w:t>processing</w:t>
      </w:r>
      <w:proofErr w:type="spellEnd"/>
      <w:r>
        <w:t xml:space="preserve"> for SCG activation</w:t>
      </w:r>
    </w:p>
    <w:p w14:paraId="3999888F" w14:textId="3472B3D4" w:rsidR="00FF3FCA" w:rsidRDefault="00FF3FCA" w:rsidP="00FF3FCA"/>
    <w:p w14:paraId="7AB59437" w14:textId="142EC790" w:rsidR="00FD40E5" w:rsidRDefault="00FD40E5" w:rsidP="00FD40E5">
      <w:pPr>
        <w:pStyle w:val="3GPPHeader"/>
        <w:spacing w:after="60"/>
        <w:rPr>
          <w:sz w:val="32"/>
          <w:szCs w:val="32"/>
          <w:highlight w:val="yellow"/>
        </w:rPr>
      </w:pPr>
      <w:r>
        <w:t>3GPP TSG-RAN WG2 #112-e</w:t>
      </w:r>
      <w:r>
        <w:tab/>
      </w:r>
      <w:r>
        <w:rPr>
          <w:sz w:val="32"/>
          <w:szCs w:val="32"/>
        </w:rPr>
        <w:t>R2-20xxxxx</w:t>
      </w:r>
    </w:p>
    <w:p w14:paraId="2303F66C" w14:textId="17B9E1F7" w:rsidR="00FD40E5" w:rsidRDefault="00FD40E5" w:rsidP="00FD40E5">
      <w:pPr>
        <w:pStyle w:val="3GPPHeader"/>
      </w:pPr>
      <w:r>
        <w:t xml:space="preserve">Electronic meeting, 2nd - 14th </w:t>
      </w:r>
      <w:proofErr w:type="gramStart"/>
      <w:r>
        <w:t>November,</w:t>
      </w:r>
      <w:proofErr w:type="gramEnd"/>
      <w:r>
        <w:t xml:space="preserve"> 2020</w:t>
      </w:r>
    </w:p>
    <w:p w14:paraId="6A114B33" w14:textId="77777777" w:rsidR="00FD40E5" w:rsidRDefault="00FD40E5" w:rsidP="00FD40E5">
      <w:pPr>
        <w:rPr>
          <w:rFonts w:ascii="Arial" w:hAnsi="Arial" w:cs="Arial"/>
        </w:rPr>
      </w:pPr>
    </w:p>
    <w:p w14:paraId="347EC5AF" w14:textId="0C0528B0" w:rsidR="00FD40E5" w:rsidRDefault="00FD40E5" w:rsidP="00FD40E5">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Cs/>
        </w:rPr>
        <w:t xml:space="preserve">LS on </w:t>
      </w:r>
      <w:proofErr w:type="spellStart"/>
      <w:r>
        <w:rPr>
          <w:rFonts w:ascii="Arial" w:hAnsi="Arial" w:cs="Arial"/>
          <w:bCs/>
        </w:rPr>
        <w:t>T</w:t>
      </w:r>
      <w:r w:rsidRPr="00C8007B">
        <w:rPr>
          <w:rFonts w:ascii="Arial" w:hAnsi="Arial" w:cs="Arial"/>
          <w:bCs/>
          <w:vertAlign w:val="subscript"/>
        </w:rPr>
        <w:t>processing</w:t>
      </w:r>
      <w:proofErr w:type="spellEnd"/>
      <w:r>
        <w:rPr>
          <w:rFonts w:ascii="Arial" w:hAnsi="Arial" w:cs="Arial"/>
          <w:bCs/>
        </w:rPr>
        <w:t xml:space="preserve"> for SCG activation</w:t>
      </w:r>
    </w:p>
    <w:p w14:paraId="0ECF8B8C" w14:textId="77777777" w:rsidR="00FD40E5" w:rsidRDefault="00FD40E5" w:rsidP="00FD40E5">
      <w:pPr>
        <w:spacing w:after="60"/>
        <w:ind w:left="1985" w:hanging="1985"/>
        <w:rPr>
          <w:rFonts w:ascii="Arial" w:hAnsi="Arial" w:cs="Arial"/>
          <w:bCs/>
        </w:rPr>
      </w:pPr>
      <w:r>
        <w:rPr>
          <w:rFonts w:ascii="Arial" w:hAnsi="Arial" w:cs="Arial"/>
          <w:b/>
        </w:rPr>
        <w:t>Release:</w:t>
      </w:r>
      <w:r>
        <w:rPr>
          <w:rFonts w:ascii="Arial" w:hAnsi="Arial" w:cs="Arial"/>
          <w:bCs/>
        </w:rPr>
        <w:tab/>
        <w:t>Rel-16</w:t>
      </w:r>
    </w:p>
    <w:p w14:paraId="4B2924F1" w14:textId="21A3C880" w:rsidR="00FD40E5" w:rsidRDefault="00FD40E5" w:rsidP="00FD40E5">
      <w:pPr>
        <w:spacing w:after="60"/>
        <w:ind w:left="1985" w:hanging="1985"/>
        <w:rPr>
          <w:rFonts w:ascii="Arial" w:hAnsi="Arial" w:cs="Arial"/>
          <w:bCs/>
        </w:rPr>
      </w:pPr>
      <w:r>
        <w:rPr>
          <w:rFonts w:ascii="Arial" w:hAnsi="Arial" w:cs="Arial"/>
          <w:b/>
        </w:rPr>
        <w:t>Work Item:</w:t>
      </w:r>
      <w:r>
        <w:rPr>
          <w:rFonts w:ascii="Arial" w:hAnsi="Arial" w:cs="Arial"/>
          <w:bCs/>
        </w:rPr>
        <w:tab/>
      </w:r>
      <w:r w:rsidRPr="00FD40E5">
        <w:rPr>
          <w:rFonts w:ascii="Arial" w:hAnsi="Arial" w:cs="Arial"/>
          <w:bCs/>
        </w:rPr>
        <w:t>LTE_NR_DC_enh2-Core</w:t>
      </w:r>
    </w:p>
    <w:p w14:paraId="047B1C67" w14:textId="77777777" w:rsidR="00FD40E5" w:rsidRDefault="00FD40E5" w:rsidP="00FD40E5">
      <w:pPr>
        <w:spacing w:after="60"/>
        <w:ind w:left="1985" w:hanging="1985"/>
        <w:rPr>
          <w:rFonts w:ascii="Arial" w:hAnsi="Arial" w:cs="Arial"/>
          <w:b/>
        </w:rPr>
      </w:pPr>
    </w:p>
    <w:p w14:paraId="01FD4FA6" w14:textId="77777777" w:rsidR="00FD40E5" w:rsidRDefault="00FD40E5" w:rsidP="00FD40E5">
      <w:pPr>
        <w:spacing w:after="60"/>
        <w:ind w:left="1985" w:hanging="1985"/>
        <w:rPr>
          <w:rFonts w:ascii="Arial" w:hAnsi="Arial" w:cs="Arial"/>
          <w:bCs/>
        </w:rPr>
      </w:pPr>
      <w:r>
        <w:rPr>
          <w:rFonts w:ascii="Arial" w:hAnsi="Arial" w:cs="Arial"/>
          <w:b/>
        </w:rPr>
        <w:t>Source:</w:t>
      </w:r>
      <w:r>
        <w:rPr>
          <w:rFonts w:ascii="Arial" w:hAnsi="Arial" w:cs="Arial"/>
          <w:bCs/>
        </w:rPr>
        <w:tab/>
        <w:t>RAN WG2</w:t>
      </w:r>
    </w:p>
    <w:p w14:paraId="6DE53791" w14:textId="231AC705" w:rsidR="00FD40E5" w:rsidRDefault="00FD40E5" w:rsidP="00FD40E5">
      <w:pPr>
        <w:spacing w:after="60"/>
        <w:ind w:left="1985" w:hanging="1985"/>
        <w:rPr>
          <w:rFonts w:ascii="Arial" w:hAnsi="Arial" w:cs="Arial"/>
          <w:bCs/>
        </w:rPr>
      </w:pPr>
      <w:r>
        <w:rPr>
          <w:rFonts w:ascii="Arial" w:hAnsi="Arial" w:cs="Arial"/>
          <w:b/>
        </w:rPr>
        <w:t>To:</w:t>
      </w:r>
      <w:r>
        <w:rPr>
          <w:rFonts w:ascii="Arial" w:hAnsi="Arial" w:cs="Arial"/>
          <w:bCs/>
        </w:rPr>
        <w:tab/>
        <w:t>RAN WG4</w:t>
      </w:r>
    </w:p>
    <w:p w14:paraId="0D91B296" w14:textId="77777777" w:rsidR="00FD40E5" w:rsidRDefault="00FD40E5" w:rsidP="00FD40E5">
      <w:pPr>
        <w:spacing w:after="60"/>
        <w:ind w:left="1985" w:hanging="1985"/>
        <w:rPr>
          <w:rFonts w:ascii="Arial" w:hAnsi="Arial" w:cs="Arial"/>
          <w:bCs/>
        </w:rPr>
      </w:pPr>
      <w:r>
        <w:rPr>
          <w:rFonts w:ascii="Arial" w:hAnsi="Arial" w:cs="Arial"/>
          <w:b/>
        </w:rPr>
        <w:t>Cc:</w:t>
      </w:r>
      <w:r>
        <w:rPr>
          <w:rFonts w:ascii="Arial" w:hAnsi="Arial" w:cs="Arial"/>
          <w:bCs/>
        </w:rPr>
        <w:tab/>
      </w:r>
    </w:p>
    <w:p w14:paraId="297CE71B" w14:textId="77777777" w:rsidR="00FD40E5" w:rsidRDefault="00FD40E5" w:rsidP="00FD40E5">
      <w:pPr>
        <w:spacing w:after="60"/>
        <w:ind w:left="1985" w:hanging="1985"/>
        <w:rPr>
          <w:rFonts w:ascii="Arial" w:hAnsi="Arial" w:cs="Arial"/>
          <w:bCs/>
        </w:rPr>
      </w:pPr>
    </w:p>
    <w:p w14:paraId="5C82C18D" w14:textId="44CEB014" w:rsidR="00C8007B" w:rsidRPr="00C8007B" w:rsidRDefault="00C8007B" w:rsidP="00C8007B">
      <w:pPr>
        <w:tabs>
          <w:tab w:val="left" w:pos="2268"/>
        </w:tabs>
        <w:spacing w:after="0"/>
        <w:rPr>
          <w:rFonts w:ascii="Arial" w:hAnsi="Arial" w:cs="Arial"/>
          <w:b/>
        </w:rPr>
      </w:pPr>
      <w:r>
        <w:rPr>
          <w:rFonts w:ascii="Arial" w:hAnsi="Arial" w:cs="Arial"/>
          <w:b/>
        </w:rPr>
        <w:t>Contact Person:</w:t>
      </w:r>
      <w:r>
        <w:rPr>
          <w:rFonts w:ascii="Arial" w:hAnsi="Arial" w:cs="Arial"/>
          <w:bCs/>
        </w:rPr>
        <w:tab/>
      </w:r>
    </w:p>
    <w:p w14:paraId="1F481F8F" w14:textId="35117A45" w:rsidR="00C8007B" w:rsidRPr="00C8007B" w:rsidRDefault="00C8007B" w:rsidP="00C8007B">
      <w:pPr>
        <w:pStyle w:val="Heading4"/>
        <w:tabs>
          <w:tab w:val="left" w:pos="2268"/>
        </w:tabs>
        <w:spacing w:before="0" w:after="0"/>
        <w:ind w:left="567"/>
        <w:rPr>
          <w:rFonts w:eastAsia="DengXian" w:cs="Arial"/>
          <w:bCs/>
          <w:sz w:val="20"/>
        </w:rPr>
      </w:pPr>
      <w:r>
        <w:rPr>
          <w:rFonts w:eastAsia="DengXian" w:cs="Arial"/>
          <w:b/>
        </w:rPr>
        <w:lastRenderedPageBreak/>
        <w:tab/>
      </w:r>
      <w:r w:rsidRPr="00C8007B">
        <w:rPr>
          <w:rFonts w:eastAsia="DengXian" w:cs="Arial"/>
          <w:b/>
          <w:sz w:val="20"/>
        </w:rPr>
        <w:t>Name:</w:t>
      </w:r>
      <w:r w:rsidRPr="00C8007B">
        <w:rPr>
          <w:rFonts w:eastAsia="DengXian" w:cs="Arial"/>
          <w:bCs/>
          <w:sz w:val="20"/>
        </w:rPr>
        <w:tab/>
        <w:t>Stefan Wager</w:t>
      </w:r>
    </w:p>
    <w:p w14:paraId="2CEF628E" w14:textId="50B67D63" w:rsidR="00C8007B" w:rsidRPr="00C8007B" w:rsidRDefault="00C8007B" w:rsidP="00C8007B">
      <w:pPr>
        <w:pStyle w:val="Heading7"/>
        <w:tabs>
          <w:tab w:val="left" w:pos="2268"/>
        </w:tabs>
        <w:spacing w:before="0" w:after="0"/>
        <w:ind w:left="567"/>
        <w:rPr>
          <w:rFonts w:eastAsia="DengXian" w:cs="Arial"/>
        </w:rPr>
      </w:pPr>
      <w:r w:rsidRPr="00C8007B">
        <w:rPr>
          <w:rFonts w:cs="Arial"/>
        </w:rPr>
        <w:tab/>
        <w:t>E-mail Address:</w:t>
      </w:r>
      <w:r w:rsidRPr="00C8007B">
        <w:rPr>
          <w:rFonts w:cs="Arial"/>
        </w:rPr>
        <w:tab/>
        <w:t>stefan.wager@ericsson.com</w:t>
      </w:r>
    </w:p>
    <w:p w14:paraId="300F58B4" w14:textId="77777777" w:rsidR="00FD40E5" w:rsidRDefault="00FD40E5" w:rsidP="00FD40E5">
      <w:pPr>
        <w:spacing w:after="60"/>
        <w:ind w:left="1985" w:hanging="1985"/>
        <w:rPr>
          <w:rFonts w:ascii="Arial" w:hAnsi="Arial" w:cs="Arial"/>
          <w:b/>
          <w:lang w:eastAsia="en-US"/>
        </w:rPr>
      </w:pPr>
    </w:p>
    <w:p w14:paraId="57CAD0B3" w14:textId="5B75B73C" w:rsidR="00FD40E5" w:rsidRDefault="00FD40E5" w:rsidP="00FD40E5">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8" w:history="1">
        <w:r w:rsidR="00C8007B" w:rsidRPr="008164FE">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AB53EAB" w14:textId="77777777" w:rsidR="00FD40E5" w:rsidRDefault="00FD40E5" w:rsidP="00FD40E5">
      <w:pPr>
        <w:spacing w:after="60"/>
        <w:ind w:left="1985" w:hanging="1985"/>
        <w:rPr>
          <w:rFonts w:ascii="Arial" w:hAnsi="Arial" w:cs="Arial"/>
          <w:b/>
        </w:rPr>
      </w:pPr>
    </w:p>
    <w:p w14:paraId="3631DF38" w14:textId="77777777" w:rsidR="00FD40E5" w:rsidRDefault="00FD40E5" w:rsidP="00FD40E5">
      <w:pPr>
        <w:spacing w:after="60"/>
        <w:ind w:left="1985" w:hanging="1985"/>
        <w:rPr>
          <w:rFonts w:ascii="Arial" w:hAnsi="Arial" w:cs="Arial"/>
          <w:bCs/>
        </w:rPr>
      </w:pPr>
      <w:r>
        <w:rPr>
          <w:rFonts w:ascii="Arial" w:hAnsi="Arial" w:cs="Arial"/>
          <w:b/>
        </w:rPr>
        <w:t>Attachments:</w:t>
      </w:r>
      <w:r>
        <w:rPr>
          <w:rFonts w:ascii="Arial" w:hAnsi="Arial" w:cs="Arial"/>
          <w:bCs/>
        </w:rPr>
        <w:tab/>
        <w:t xml:space="preserve">- </w:t>
      </w:r>
    </w:p>
    <w:p w14:paraId="324D2A8E" w14:textId="77777777" w:rsidR="00FD40E5" w:rsidRDefault="00FD40E5" w:rsidP="00FD40E5">
      <w:pPr>
        <w:pBdr>
          <w:bottom w:val="single" w:sz="4" w:space="1" w:color="auto"/>
        </w:pBdr>
        <w:rPr>
          <w:rFonts w:ascii="Arial" w:hAnsi="Arial" w:cs="Arial"/>
        </w:rPr>
      </w:pPr>
    </w:p>
    <w:p w14:paraId="556660CD" w14:textId="77777777" w:rsidR="00FD40E5" w:rsidRDefault="00FD40E5" w:rsidP="00FD40E5">
      <w:pPr>
        <w:rPr>
          <w:rFonts w:ascii="Arial" w:hAnsi="Arial" w:cs="Arial"/>
        </w:rPr>
      </w:pPr>
    </w:p>
    <w:p w14:paraId="539C82CC" w14:textId="77777777" w:rsidR="00FD40E5" w:rsidRDefault="00FD40E5" w:rsidP="00FD40E5">
      <w:pPr>
        <w:pStyle w:val="ListParagraph"/>
        <w:numPr>
          <w:ilvl w:val="0"/>
          <w:numId w:val="34"/>
        </w:numPr>
        <w:spacing w:after="120" w:line="256" w:lineRule="auto"/>
        <w:ind w:left="270"/>
        <w:contextualSpacing/>
        <w:textAlignment w:val="auto"/>
        <w:rPr>
          <w:rFonts w:ascii="Arial" w:hAnsi="Arial" w:cs="Arial"/>
          <w:b/>
        </w:rPr>
      </w:pPr>
      <w:bookmarkStart w:id="34" w:name="_Hlk41810046"/>
      <w:r>
        <w:rPr>
          <w:rFonts w:ascii="Arial" w:hAnsi="Arial" w:cs="Arial"/>
          <w:b/>
        </w:rPr>
        <w:t>Overall Description:</w:t>
      </w:r>
    </w:p>
    <w:p w14:paraId="07063691" w14:textId="287EF5E1" w:rsidR="00C8007B" w:rsidRDefault="00FD40E5" w:rsidP="00FD40E5">
      <w:pPr>
        <w:pStyle w:val="ListParagraph"/>
        <w:spacing w:after="120"/>
        <w:ind w:left="270"/>
        <w:jc w:val="both"/>
        <w:rPr>
          <w:rFonts w:ascii="Arial" w:hAnsi="Arial" w:cs="Arial"/>
          <w:lang w:val="fi-FI"/>
        </w:rPr>
      </w:pPr>
      <w:r>
        <w:rPr>
          <w:rFonts w:ascii="Arial" w:hAnsi="Arial" w:cs="Arial"/>
        </w:rPr>
        <w:t xml:space="preserve">RAN2 </w:t>
      </w:r>
      <w:r w:rsidR="00C8007B">
        <w:rPr>
          <w:rFonts w:ascii="Arial" w:hAnsi="Arial" w:cs="Arial"/>
          <w:lang w:val="fi-FI"/>
        </w:rPr>
        <w:t>has discussed the SCG activation</w:t>
      </w:r>
      <w:r w:rsidR="00DB768D">
        <w:rPr>
          <w:rFonts w:ascii="Arial" w:hAnsi="Arial" w:cs="Arial"/>
          <w:lang w:val="fi-FI"/>
        </w:rPr>
        <w:t xml:space="preserve"> </w:t>
      </w:r>
      <w:r w:rsidR="002045A6">
        <w:rPr>
          <w:rFonts w:ascii="Arial" w:hAnsi="Arial" w:cs="Arial"/>
          <w:lang w:val="fi-FI"/>
        </w:rPr>
        <w:t>time</w:t>
      </w:r>
      <w:r w:rsidR="00C8007B">
        <w:rPr>
          <w:rFonts w:ascii="Arial" w:hAnsi="Arial" w:cs="Arial"/>
          <w:lang w:val="fi-FI"/>
        </w:rPr>
        <w:t xml:space="preserve"> and would like to confirm the following understanding with RAN4</w:t>
      </w:r>
      <w:r w:rsidR="00DB768D">
        <w:rPr>
          <w:rFonts w:ascii="Arial" w:hAnsi="Arial" w:cs="Arial"/>
          <w:lang w:val="fi-FI"/>
        </w:rPr>
        <w:t xml:space="preserve"> regarding the physical layer processing T</w:t>
      </w:r>
      <w:r w:rsidR="00DB768D" w:rsidRPr="00DB768D">
        <w:rPr>
          <w:rFonts w:ascii="Arial" w:hAnsi="Arial" w:cs="Arial"/>
          <w:vertAlign w:val="subscript"/>
          <w:lang w:val="fi-FI"/>
        </w:rPr>
        <w:t>processing</w:t>
      </w:r>
      <w:r w:rsidR="00C8007B">
        <w:rPr>
          <w:rFonts w:ascii="Arial" w:hAnsi="Arial" w:cs="Arial"/>
          <w:lang w:val="fi-FI"/>
        </w:rPr>
        <w:t xml:space="preserve">: </w:t>
      </w:r>
    </w:p>
    <w:p w14:paraId="1A9C5EC6" w14:textId="58D9205F" w:rsidR="00DB768D" w:rsidRPr="00DB768D" w:rsidRDefault="00DB768D" w:rsidP="00DB768D">
      <w:pPr>
        <w:pStyle w:val="ListParagraph"/>
        <w:numPr>
          <w:ilvl w:val="0"/>
          <w:numId w:val="35"/>
        </w:numPr>
        <w:ind w:hanging="357"/>
        <w:jc w:val="both"/>
        <w:rPr>
          <w:rFonts w:ascii="Arial" w:hAnsi="Arial" w:cs="Arial"/>
        </w:rPr>
      </w:pPr>
      <w:r w:rsidRPr="00DB768D">
        <w:rPr>
          <w:rFonts w:ascii="Arial" w:hAnsi="Arial" w:cs="Arial"/>
          <w:lang w:val="fi-FI"/>
        </w:rPr>
        <w:t xml:space="preserve">Tprocessing </w:t>
      </w:r>
      <w:r>
        <w:rPr>
          <w:rFonts w:ascii="Arial" w:hAnsi="Arial" w:cs="Arial"/>
          <w:lang w:val="fi-FI"/>
        </w:rPr>
        <w:t xml:space="preserve">for SCG addition currently </w:t>
      </w:r>
      <w:r w:rsidRPr="00DB768D">
        <w:rPr>
          <w:rFonts w:ascii="Arial" w:hAnsi="Arial" w:cs="Arial"/>
          <w:lang w:val="fi-FI"/>
        </w:rPr>
        <w:t xml:space="preserve">consists of </w:t>
      </w:r>
    </w:p>
    <w:p w14:paraId="3B67DCB9" w14:textId="77777777" w:rsidR="00DB768D" w:rsidRPr="00DB768D" w:rsidRDefault="00DB768D" w:rsidP="00DB768D">
      <w:pPr>
        <w:pStyle w:val="ListParagraph"/>
        <w:numPr>
          <w:ilvl w:val="1"/>
          <w:numId w:val="35"/>
        </w:numPr>
        <w:ind w:hanging="357"/>
        <w:jc w:val="both"/>
        <w:rPr>
          <w:rFonts w:ascii="Arial" w:hAnsi="Arial" w:cs="Arial"/>
        </w:rPr>
      </w:pPr>
      <w:r w:rsidRPr="00DB768D">
        <w:rPr>
          <w:rFonts w:ascii="Arial" w:hAnsi="Arial" w:cs="Arial"/>
          <w:lang w:val="fi-FI"/>
        </w:rPr>
        <w:t xml:space="preserve">20ms for loading software and </w:t>
      </w:r>
    </w:p>
    <w:p w14:paraId="71E99FCF" w14:textId="77777777" w:rsidR="00DB768D" w:rsidRPr="00DB768D" w:rsidRDefault="00DB768D" w:rsidP="00DB768D">
      <w:pPr>
        <w:pStyle w:val="ListParagraph"/>
        <w:numPr>
          <w:ilvl w:val="1"/>
          <w:numId w:val="35"/>
        </w:numPr>
        <w:spacing w:after="120"/>
        <w:jc w:val="both"/>
        <w:rPr>
          <w:rFonts w:ascii="Arial" w:hAnsi="Arial" w:cs="Arial"/>
        </w:rPr>
      </w:pPr>
      <w:r w:rsidRPr="00DB768D">
        <w:rPr>
          <w:rFonts w:ascii="Arial" w:hAnsi="Arial" w:cs="Arial"/>
          <w:lang w:val="fi-FI"/>
        </w:rPr>
        <w:t xml:space="preserve">20ms for initializing data structures and buffers. </w:t>
      </w:r>
    </w:p>
    <w:p w14:paraId="2F2443E1" w14:textId="77777777" w:rsidR="00DB768D" w:rsidRPr="00DB768D" w:rsidRDefault="00DB768D" w:rsidP="00DB768D">
      <w:pPr>
        <w:pStyle w:val="ListParagraph"/>
        <w:numPr>
          <w:ilvl w:val="0"/>
          <w:numId w:val="35"/>
        </w:numPr>
        <w:spacing w:after="120"/>
        <w:jc w:val="both"/>
        <w:rPr>
          <w:rFonts w:ascii="Arial" w:hAnsi="Arial" w:cs="Arial"/>
        </w:rPr>
      </w:pPr>
      <w:r>
        <w:rPr>
          <w:rFonts w:ascii="Arial" w:hAnsi="Arial" w:cs="Arial"/>
          <w:lang w:val="fi-FI"/>
        </w:rPr>
        <w:t xml:space="preserve">For SCG activation, </w:t>
      </w:r>
    </w:p>
    <w:p w14:paraId="07CEE056" w14:textId="3133C1DC" w:rsidR="00DB768D" w:rsidRPr="00DB768D" w:rsidRDefault="00DB768D" w:rsidP="00DB768D">
      <w:pPr>
        <w:pStyle w:val="ListParagraph"/>
        <w:numPr>
          <w:ilvl w:val="1"/>
          <w:numId w:val="35"/>
        </w:numPr>
        <w:spacing w:after="120"/>
        <w:jc w:val="both"/>
        <w:rPr>
          <w:rFonts w:ascii="Arial" w:hAnsi="Arial" w:cs="Arial"/>
        </w:rPr>
      </w:pPr>
      <w:r w:rsidRPr="00DB768D">
        <w:rPr>
          <w:rFonts w:ascii="Arial" w:hAnsi="Arial" w:cs="Arial"/>
          <w:lang w:val="fi-FI"/>
        </w:rPr>
        <w:t>For the software loading it should be realistic to assume that it can be performed during SCG addition, and that the UE can keep the software loaded for the deactivated SCG. There would then be no need to reload the software during SCG activation</w:t>
      </w:r>
      <w:r>
        <w:rPr>
          <w:rFonts w:ascii="Arial" w:hAnsi="Arial" w:cs="Arial"/>
          <w:lang w:val="fi-FI"/>
        </w:rPr>
        <w:t>, assuming SCG stays in the same frequency range</w:t>
      </w:r>
      <w:r w:rsidRPr="00DB768D">
        <w:rPr>
          <w:rFonts w:ascii="Arial" w:hAnsi="Arial" w:cs="Arial"/>
          <w:lang w:val="fi-FI"/>
        </w:rPr>
        <w:t>.</w:t>
      </w:r>
    </w:p>
    <w:p w14:paraId="051CF273" w14:textId="77777777" w:rsidR="00DB768D" w:rsidRPr="00DB768D" w:rsidRDefault="00DB768D" w:rsidP="00DB768D">
      <w:pPr>
        <w:pStyle w:val="ListParagraph"/>
        <w:numPr>
          <w:ilvl w:val="1"/>
          <w:numId w:val="35"/>
        </w:numPr>
        <w:spacing w:after="120"/>
        <w:jc w:val="both"/>
        <w:rPr>
          <w:rFonts w:ascii="Arial" w:hAnsi="Arial" w:cs="Arial"/>
        </w:rPr>
      </w:pPr>
      <w:r w:rsidRPr="00DB768D">
        <w:rPr>
          <w:rFonts w:ascii="Arial" w:hAnsi="Arial" w:cs="Arial"/>
          <w:lang w:val="fi-FI"/>
        </w:rPr>
        <w:t xml:space="preserve">For the initialization of data structures and buffers, it should be possible for UEs to keep the memory initialized for deactivated SCG, </w:t>
      </w:r>
      <w:r>
        <w:rPr>
          <w:rFonts w:ascii="Arial" w:hAnsi="Arial" w:cs="Arial"/>
          <w:lang w:val="fi-FI"/>
        </w:rPr>
        <w:t xml:space="preserve">assuming </w:t>
      </w:r>
      <w:r w:rsidRPr="00DB768D">
        <w:rPr>
          <w:rFonts w:ascii="Arial" w:hAnsi="Arial" w:cs="Arial"/>
          <w:lang w:val="fi-FI"/>
        </w:rPr>
        <w:t xml:space="preserve">the cell or frequency is not changed. </w:t>
      </w:r>
    </w:p>
    <w:p w14:paraId="36529C49" w14:textId="74D71546" w:rsidR="00FD40E5" w:rsidRDefault="009A7523" w:rsidP="00DB768D">
      <w:pPr>
        <w:pStyle w:val="ListParagraph"/>
        <w:numPr>
          <w:ilvl w:val="1"/>
          <w:numId w:val="35"/>
        </w:numPr>
        <w:spacing w:after="120"/>
        <w:jc w:val="both"/>
        <w:rPr>
          <w:rFonts w:ascii="Arial" w:hAnsi="Arial" w:cs="Arial"/>
        </w:rPr>
      </w:pPr>
      <w:r>
        <w:rPr>
          <w:rFonts w:ascii="Arial" w:hAnsi="Arial" w:cs="Arial"/>
          <w:lang w:val="fi-FI"/>
        </w:rPr>
        <w:t xml:space="preserve">In summary, </w:t>
      </w:r>
      <w:r w:rsidR="00DB768D" w:rsidRPr="00DB768D">
        <w:rPr>
          <w:rFonts w:ascii="Arial" w:hAnsi="Arial" w:cs="Arial"/>
          <w:lang w:val="fi-FI"/>
        </w:rPr>
        <w:t>if there is no mobility for the deactivated SCG, it should be possible to assume Tprocessing = 0ms</w:t>
      </w:r>
      <w:r>
        <w:rPr>
          <w:rFonts w:ascii="Arial" w:hAnsi="Arial" w:cs="Arial"/>
          <w:lang w:val="fi-FI"/>
        </w:rPr>
        <w:t xml:space="preserve"> for SCG activation.</w:t>
      </w:r>
      <w:r w:rsidR="00FD40E5">
        <w:rPr>
          <w:rFonts w:ascii="Arial" w:hAnsi="Arial" w:cs="Arial"/>
        </w:rPr>
        <w:t xml:space="preserve">  </w:t>
      </w:r>
      <w:bookmarkEnd w:id="34"/>
    </w:p>
    <w:p w14:paraId="6366088F" w14:textId="77777777" w:rsidR="00FD40E5" w:rsidRDefault="00FD40E5" w:rsidP="00FD40E5">
      <w:pPr>
        <w:spacing w:after="120"/>
        <w:jc w:val="both"/>
        <w:rPr>
          <w:rFonts w:ascii="Arial" w:hAnsi="Arial" w:cs="Arial"/>
        </w:rPr>
      </w:pPr>
    </w:p>
    <w:p w14:paraId="5C6333FC" w14:textId="77777777" w:rsidR="00FD40E5" w:rsidRDefault="00FD40E5" w:rsidP="00FD40E5">
      <w:pPr>
        <w:pStyle w:val="ListParagraph"/>
        <w:numPr>
          <w:ilvl w:val="0"/>
          <w:numId w:val="34"/>
        </w:numPr>
        <w:spacing w:after="120" w:line="256" w:lineRule="auto"/>
        <w:ind w:left="270"/>
        <w:contextualSpacing/>
        <w:textAlignment w:val="auto"/>
        <w:rPr>
          <w:rFonts w:ascii="Arial" w:hAnsi="Arial" w:cs="Arial"/>
          <w:b/>
        </w:rPr>
      </w:pPr>
      <w:r>
        <w:rPr>
          <w:rFonts w:ascii="Arial" w:hAnsi="Arial" w:cs="Arial"/>
          <w:b/>
        </w:rPr>
        <w:t>Actions:</w:t>
      </w:r>
    </w:p>
    <w:p w14:paraId="531A5E5A" w14:textId="7A19A7E9" w:rsidR="00FD40E5" w:rsidRDefault="00FD40E5" w:rsidP="00FD40E5">
      <w:pPr>
        <w:spacing w:after="120"/>
        <w:ind w:left="1985" w:hanging="1985"/>
        <w:rPr>
          <w:rFonts w:ascii="Arial" w:hAnsi="Arial" w:cs="Arial"/>
        </w:rPr>
      </w:pPr>
      <w:r>
        <w:rPr>
          <w:rFonts w:ascii="Arial" w:hAnsi="Arial" w:cs="Arial"/>
          <w:b/>
        </w:rPr>
        <w:t>To RAN4:</w:t>
      </w:r>
      <w:r>
        <w:rPr>
          <w:rFonts w:ascii="Arial" w:hAnsi="Arial" w:cs="Arial"/>
          <w:b/>
        </w:rPr>
        <w:tab/>
      </w:r>
      <w:r>
        <w:rPr>
          <w:rFonts w:ascii="Arial" w:hAnsi="Arial" w:cs="Arial"/>
        </w:rPr>
        <w:t xml:space="preserve">RAN2 respectfully asks RAN4 to </w:t>
      </w:r>
      <w:r w:rsidR="009A7523">
        <w:rPr>
          <w:rFonts w:ascii="Arial" w:hAnsi="Arial" w:cs="Arial"/>
        </w:rPr>
        <w:t>confirm the above RAN2 understanding.</w:t>
      </w:r>
    </w:p>
    <w:p w14:paraId="36F7B547" w14:textId="0C740F05" w:rsidR="00FD40E5" w:rsidRDefault="00FD40E5" w:rsidP="00FD40E5">
      <w:pPr>
        <w:spacing w:after="120"/>
        <w:rPr>
          <w:rFonts w:ascii="Arial" w:hAnsi="Arial" w:cs="Arial"/>
          <w:b/>
        </w:rPr>
      </w:pPr>
    </w:p>
    <w:p w14:paraId="57F22DC6" w14:textId="77777777" w:rsidR="00FD40E5" w:rsidRDefault="00FD40E5" w:rsidP="00FD40E5">
      <w:pPr>
        <w:pStyle w:val="ListParagraph"/>
        <w:numPr>
          <w:ilvl w:val="0"/>
          <w:numId w:val="34"/>
        </w:numPr>
        <w:spacing w:after="120" w:line="256" w:lineRule="auto"/>
        <w:ind w:left="270"/>
        <w:contextualSpacing/>
        <w:textAlignment w:val="auto"/>
        <w:rPr>
          <w:rFonts w:ascii="Arial" w:hAnsi="Arial" w:cs="Arial"/>
          <w:b/>
        </w:rPr>
      </w:pPr>
      <w:r>
        <w:rPr>
          <w:rFonts w:ascii="Arial" w:hAnsi="Arial" w:cs="Arial"/>
          <w:b/>
        </w:rPr>
        <w:t>Date of Next TSG-RAN WG2 Meetings:</w:t>
      </w:r>
    </w:p>
    <w:p w14:paraId="00D2DBA0" w14:textId="4FA1D208" w:rsidR="00FD40E5" w:rsidRDefault="00FD40E5" w:rsidP="00FD40E5">
      <w:pPr>
        <w:tabs>
          <w:tab w:val="left" w:pos="4962"/>
          <w:tab w:val="left" w:pos="7797"/>
        </w:tabs>
        <w:spacing w:after="120"/>
        <w:ind w:left="2268" w:hanging="2268"/>
        <w:rPr>
          <w:rFonts w:ascii="Arial" w:hAnsi="Arial" w:cs="Arial"/>
          <w:bCs/>
        </w:rPr>
      </w:pPr>
      <w:r>
        <w:rPr>
          <w:rFonts w:ascii="Arial" w:hAnsi="Arial" w:cs="Arial"/>
          <w:bCs/>
        </w:rPr>
        <w:t>TSG-RAN WG2 Meeting #11</w:t>
      </w:r>
      <w:r w:rsidR="00C8007B">
        <w:rPr>
          <w:rFonts w:ascii="Arial" w:hAnsi="Arial" w:cs="Arial"/>
          <w:bCs/>
        </w:rPr>
        <w:t>3</w:t>
      </w:r>
      <w:r>
        <w:rPr>
          <w:rFonts w:ascii="Arial" w:hAnsi="Arial" w:cs="Arial"/>
          <w:bCs/>
        </w:rPr>
        <w:t>e</w:t>
      </w:r>
      <w:r>
        <w:rPr>
          <w:rFonts w:ascii="Arial" w:hAnsi="Arial" w:cs="Arial"/>
          <w:bCs/>
        </w:rPr>
        <w:tab/>
        <w:t>202</w:t>
      </w:r>
      <w:r w:rsidR="00C8007B">
        <w:rPr>
          <w:rFonts w:ascii="Arial" w:hAnsi="Arial" w:cs="Arial"/>
          <w:bCs/>
        </w:rPr>
        <w:t>1</w:t>
      </w:r>
      <w:r>
        <w:rPr>
          <w:rFonts w:ascii="Arial" w:hAnsi="Arial" w:cs="Arial"/>
          <w:bCs/>
        </w:rPr>
        <w:t>-</w:t>
      </w:r>
      <w:r w:rsidR="009A7523">
        <w:rPr>
          <w:rFonts w:ascii="Arial" w:hAnsi="Arial" w:cs="Arial"/>
          <w:bCs/>
        </w:rPr>
        <w:t>01</w:t>
      </w:r>
      <w:r>
        <w:rPr>
          <w:rFonts w:ascii="Arial" w:hAnsi="Arial" w:cs="Arial"/>
          <w:bCs/>
        </w:rPr>
        <w:t>-</w:t>
      </w:r>
      <w:r w:rsidR="009A7523">
        <w:rPr>
          <w:rFonts w:ascii="Arial" w:hAnsi="Arial" w:cs="Arial"/>
          <w:bCs/>
        </w:rPr>
        <w:t>25</w:t>
      </w:r>
      <w:r>
        <w:rPr>
          <w:rFonts w:ascii="Arial" w:hAnsi="Arial" w:cs="Arial"/>
          <w:bCs/>
        </w:rPr>
        <w:t xml:space="preserve"> to 202</w:t>
      </w:r>
      <w:r w:rsidR="00C8007B">
        <w:rPr>
          <w:rFonts w:ascii="Arial" w:hAnsi="Arial" w:cs="Arial"/>
          <w:bCs/>
        </w:rPr>
        <w:t>1</w:t>
      </w:r>
      <w:r>
        <w:rPr>
          <w:rFonts w:ascii="Arial" w:hAnsi="Arial" w:cs="Arial"/>
          <w:bCs/>
        </w:rPr>
        <w:t>-</w:t>
      </w:r>
      <w:r w:rsidR="009A7523">
        <w:rPr>
          <w:rFonts w:ascii="Arial" w:hAnsi="Arial" w:cs="Arial"/>
          <w:bCs/>
        </w:rPr>
        <w:t>02</w:t>
      </w:r>
      <w:r>
        <w:rPr>
          <w:rFonts w:ascii="Arial" w:hAnsi="Arial" w:cs="Arial"/>
          <w:bCs/>
        </w:rPr>
        <w:t>-</w:t>
      </w:r>
      <w:r w:rsidR="009A7523">
        <w:rPr>
          <w:rFonts w:ascii="Arial" w:hAnsi="Arial" w:cs="Arial"/>
          <w:bCs/>
        </w:rPr>
        <w:t>05</w:t>
      </w:r>
      <w:r>
        <w:rPr>
          <w:rFonts w:ascii="Arial" w:hAnsi="Arial" w:cs="Arial"/>
          <w:bCs/>
        </w:rPr>
        <w:tab/>
        <w:t>E-Meeting</w:t>
      </w:r>
    </w:p>
    <w:p w14:paraId="326E4030" w14:textId="088FB2E3" w:rsidR="009A7523" w:rsidRDefault="009A7523" w:rsidP="009A7523">
      <w:pPr>
        <w:tabs>
          <w:tab w:val="left" w:pos="4962"/>
          <w:tab w:val="left" w:pos="7797"/>
        </w:tabs>
        <w:spacing w:after="120"/>
        <w:ind w:left="2268" w:hanging="2268"/>
        <w:rPr>
          <w:rFonts w:ascii="Arial" w:hAnsi="Arial" w:cs="Arial"/>
          <w:bCs/>
        </w:rPr>
      </w:pPr>
      <w:r>
        <w:rPr>
          <w:rFonts w:ascii="Arial" w:hAnsi="Arial" w:cs="Arial"/>
          <w:bCs/>
        </w:rPr>
        <w:t>TSG-RAN WG2 Meeting #113-bis-e</w:t>
      </w:r>
      <w:r>
        <w:rPr>
          <w:rFonts w:ascii="Arial" w:hAnsi="Arial" w:cs="Arial"/>
          <w:bCs/>
        </w:rPr>
        <w:tab/>
        <w:t>2021-04-12 to 2021-04-20</w:t>
      </w:r>
      <w:r>
        <w:rPr>
          <w:rFonts w:ascii="Arial" w:hAnsi="Arial" w:cs="Arial"/>
          <w:bCs/>
        </w:rPr>
        <w:tab/>
        <w:t>E-Meeting</w:t>
      </w:r>
    </w:p>
    <w:p w14:paraId="2F69A076" w14:textId="77777777" w:rsidR="00FD40E5" w:rsidRPr="00FF3FCA" w:rsidRDefault="00FD40E5" w:rsidP="00FF3FCA"/>
    <w:sectPr w:rsidR="00FD40E5" w:rsidRPr="00FF3FCA"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C23BA5" w14:textId="77777777" w:rsidR="001C4A60" w:rsidRDefault="001C4A60">
      <w:r>
        <w:separator/>
      </w:r>
    </w:p>
  </w:endnote>
  <w:endnote w:type="continuationSeparator" w:id="0">
    <w:p w14:paraId="08BB23F2" w14:textId="77777777" w:rsidR="001C4A60" w:rsidRDefault="001C4A60">
      <w:r>
        <w:continuationSeparator/>
      </w:r>
    </w:p>
  </w:endnote>
  <w:endnote w:type="continuationNotice" w:id="1">
    <w:p w14:paraId="5F6C59FC" w14:textId="77777777" w:rsidR="001C4A60" w:rsidRDefault="001C4A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7D14" w14:textId="77777777" w:rsidR="001C4A60" w:rsidRDefault="001C4A6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9BF4D3" w14:textId="77777777" w:rsidR="001C4A60" w:rsidRDefault="001C4A60">
      <w:r>
        <w:separator/>
      </w:r>
    </w:p>
  </w:footnote>
  <w:footnote w:type="continuationSeparator" w:id="0">
    <w:p w14:paraId="6C08007E" w14:textId="77777777" w:rsidR="001C4A60" w:rsidRDefault="001C4A60">
      <w:r>
        <w:continuationSeparator/>
      </w:r>
    </w:p>
  </w:footnote>
  <w:footnote w:type="continuationNotice" w:id="1">
    <w:p w14:paraId="6B94A438" w14:textId="77777777" w:rsidR="001C4A60" w:rsidRDefault="001C4A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809BC" w14:textId="77777777" w:rsidR="001C4A60" w:rsidRDefault="001C4A6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D6206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B890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DA7700"/>
    <w:multiLevelType w:val="hybridMultilevel"/>
    <w:tmpl w:val="994CA0A6"/>
    <w:lvl w:ilvl="0" w:tplc="F768FA36">
      <w:start w:val="5"/>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87E4B68"/>
    <w:multiLevelType w:val="multilevel"/>
    <w:tmpl w:val="F79E32D4"/>
    <w:lvl w:ilvl="0">
      <w:start w:val="1"/>
      <w:numFmt w:val="decimal"/>
      <w:lvlText w:val="%1."/>
      <w:lvlJc w:val="left"/>
      <w:pPr>
        <w:ind w:left="720" w:hanging="360"/>
      </w:pPr>
      <w:rPr>
        <w:rFonts w:hint="default"/>
      </w:rPr>
    </w:lvl>
    <w:lvl w:ilvl="1">
      <w:start w:val="2"/>
      <w:numFmt w:val="decimal"/>
      <w:isLgl/>
      <w:lvlText w:val="%1.%2"/>
      <w:lvlJc w:val="left"/>
      <w:pPr>
        <w:ind w:left="148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E5C57F6"/>
    <w:multiLevelType w:val="hybridMultilevel"/>
    <w:tmpl w:val="F98647FA"/>
    <w:lvl w:ilvl="0" w:tplc="E2321514">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FBB05F3"/>
    <w:multiLevelType w:val="hybridMultilevel"/>
    <w:tmpl w:val="EEEA26F4"/>
    <w:lvl w:ilvl="0" w:tplc="BCF488F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0F0AA9"/>
    <w:multiLevelType w:val="hybridMultilevel"/>
    <w:tmpl w:val="70586B76"/>
    <w:lvl w:ilvl="0" w:tplc="2670E1D6">
      <w:start w:val="3"/>
      <w:numFmt w:val="lowerLetter"/>
      <w:lvlText w:val="%1."/>
      <w:lvlJc w:val="left"/>
      <w:pPr>
        <w:ind w:left="2064" w:hanging="1704"/>
      </w:pPr>
      <w:rPr>
        <w:rFonts w:ascii="Arial" w:eastAsia="Times New Roman" w:hAnsi="Arial" w:cs="Times New Roman" w:hint="default"/>
        <w:b/>
        <w:color w:val="0000FF"/>
        <w:sz w:val="20"/>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FA475ED"/>
    <w:multiLevelType w:val="hybridMultilevel"/>
    <w:tmpl w:val="1E2A9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E575AF"/>
    <w:multiLevelType w:val="hybridMultilevel"/>
    <w:tmpl w:val="1E02981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2D7031"/>
    <w:multiLevelType w:val="hybridMultilevel"/>
    <w:tmpl w:val="B4E43920"/>
    <w:lvl w:ilvl="0" w:tplc="E2321514">
      <w:start w:val="2"/>
      <w:numFmt w:val="bullet"/>
      <w:lvlText w:val="-"/>
      <w:lvlJc w:val="left"/>
      <w:pPr>
        <w:ind w:left="990" w:hanging="360"/>
      </w:pPr>
      <w:rPr>
        <w:rFonts w:ascii="Arial" w:eastAsia="Times New Roman" w:hAnsi="Arial" w:cs="Arial" w:hint="default"/>
      </w:rPr>
    </w:lvl>
    <w:lvl w:ilvl="1" w:tplc="08090003">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4A7BC6"/>
    <w:multiLevelType w:val="hybridMultilevel"/>
    <w:tmpl w:val="49465916"/>
    <w:lvl w:ilvl="0" w:tplc="09D219B0">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45933D8"/>
    <w:multiLevelType w:val="hybridMultilevel"/>
    <w:tmpl w:val="F5FC6EB6"/>
    <w:lvl w:ilvl="0" w:tplc="049C2C1E">
      <w:start w:val="3"/>
      <w:numFmt w:val="lowerLetter"/>
      <w:lvlText w:val="%1)"/>
      <w:lvlJc w:val="left"/>
      <w:pPr>
        <w:ind w:left="2061" w:hanging="1701"/>
      </w:pPr>
      <w:rPr>
        <w:rFonts w:ascii="Arial" w:hAnsi="Arial" w:hint="default"/>
        <w:color w:val="0000FF"/>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C41651"/>
    <w:multiLevelType w:val="multilevel"/>
    <w:tmpl w:val="F79E32D4"/>
    <w:lvl w:ilvl="0">
      <w:start w:val="1"/>
      <w:numFmt w:val="decimal"/>
      <w:lvlText w:val="%1."/>
      <w:lvlJc w:val="left"/>
      <w:pPr>
        <w:ind w:left="720" w:hanging="360"/>
      </w:pPr>
      <w:rPr>
        <w:rFonts w:hint="default"/>
      </w:rPr>
    </w:lvl>
    <w:lvl w:ilvl="1">
      <w:start w:val="2"/>
      <w:numFmt w:val="decimal"/>
      <w:isLgl/>
      <w:lvlText w:val="%1.%2"/>
      <w:lvlJc w:val="left"/>
      <w:pPr>
        <w:ind w:left="148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3AD044D"/>
    <w:multiLevelType w:val="hybridMultilevel"/>
    <w:tmpl w:val="532654DA"/>
    <w:lvl w:ilvl="0" w:tplc="E232151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B03725D"/>
    <w:multiLevelType w:val="hybridMultilevel"/>
    <w:tmpl w:val="418AB6F4"/>
    <w:lvl w:ilvl="0" w:tplc="E2321514">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8"/>
  </w:num>
  <w:num w:numId="4">
    <w:abstractNumId w:val="19"/>
  </w:num>
  <w:num w:numId="5">
    <w:abstractNumId w:val="14"/>
  </w:num>
  <w:num w:numId="6">
    <w:abstractNumId w:val="22"/>
  </w:num>
  <w:num w:numId="7">
    <w:abstractNumId w:val="28"/>
  </w:num>
  <w:num w:numId="8">
    <w:abstractNumId w:val="15"/>
  </w:num>
  <w:num w:numId="9">
    <w:abstractNumId w:val="12"/>
  </w:num>
  <w:num w:numId="10">
    <w:abstractNumId w:val="2"/>
  </w:num>
  <w:num w:numId="11">
    <w:abstractNumId w:val="1"/>
  </w:num>
  <w:num w:numId="12">
    <w:abstractNumId w:val="0"/>
  </w:num>
  <w:num w:numId="13">
    <w:abstractNumId w:val="24"/>
  </w:num>
  <w:num w:numId="14">
    <w:abstractNumId w:val="25"/>
  </w:num>
  <w:num w:numId="15">
    <w:abstractNumId w:val="21"/>
  </w:num>
  <w:num w:numId="16">
    <w:abstractNumId w:val="29"/>
  </w:num>
  <w:num w:numId="17">
    <w:abstractNumId w:val="10"/>
  </w:num>
  <w:num w:numId="18">
    <w:abstractNumId w:val="11"/>
  </w:num>
  <w:num w:numId="19">
    <w:abstractNumId w:val="4"/>
  </w:num>
  <w:num w:numId="20">
    <w:abstractNumId w:val="34"/>
  </w:num>
  <w:num w:numId="21">
    <w:abstractNumId w:val="16"/>
  </w:num>
  <w:num w:numId="22">
    <w:abstractNumId w:val="30"/>
  </w:num>
  <w:num w:numId="23">
    <w:abstractNumId w:val="13"/>
  </w:num>
  <w:num w:numId="24">
    <w:abstractNumId w:val="6"/>
  </w:num>
  <w:num w:numId="25">
    <w:abstractNumId w:val="7"/>
  </w:num>
  <w:num w:numId="26">
    <w:abstractNumId w:val="5"/>
  </w:num>
  <w:num w:numId="27">
    <w:abstractNumId w:val="8"/>
  </w:num>
  <w:num w:numId="28">
    <w:abstractNumId w:val="33"/>
  </w:num>
  <w:num w:numId="29">
    <w:abstractNumId w:val="32"/>
  </w:num>
  <w:num w:numId="30">
    <w:abstractNumId w:val="35"/>
  </w:num>
  <w:num w:numId="31">
    <w:abstractNumId w:val="27"/>
  </w:num>
  <w:num w:numId="32">
    <w:abstractNumId w:val="9"/>
  </w:num>
  <w:num w:numId="33">
    <w:abstractNumId w:val="31"/>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26FA"/>
    <w:rsid w:val="00002A37"/>
    <w:rsid w:val="0000564C"/>
    <w:rsid w:val="00006446"/>
    <w:rsid w:val="00006896"/>
    <w:rsid w:val="00007CDC"/>
    <w:rsid w:val="00011B28"/>
    <w:rsid w:val="00015D15"/>
    <w:rsid w:val="00024D4D"/>
    <w:rsid w:val="0002564D"/>
    <w:rsid w:val="00025ECA"/>
    <w:rsid w:val="000325B8"/>
    <w:rsid w:val="00034C15"/>
    <w:rsid w:val="00036BA1"/>
    <w:rsid w:val="000422E2"/>
    <w:rsid w:val="00042F22"/>
    <w:rsid w:val="000444EF"/>
    <w:rsid w:val="00047F9E"/>
    <w:rsid w:val="00052A07"/>
    <w:rsid w:val="000534E3"/>
    <w:rsid w:val="0005606A"/>
    <w:rsid w:val="00057117"/>
    <w:rsid w:val="000616E7"/>
    <w:rsid w:val="0006487E"/>
    <w:rsid w:val="00065E1A"/>
    <w:rsid w:val="0007062A"/>
    <w:rsid w:val="00077E5F"/>
    <w:rsid w:val="0008036A"/>
    <w:rsid w:val="00081AE6"/>
    <w:rsid w:val="00084C41"/>
    <w:rsid w:val="000855EB"/>
    <w:rsid w:val="00085B52"/>
    <w:rsid w:val="00085D1F"/>
    <w:rsid w:val="000866F2"/>
    <w:rsid w:val="0009009F"/>
    <w:rsid w:val="00091557"/>
    <w:rsid w:val="000924C1"/>
    <w:rsid w:val="000924F0"/>
    <w:rsid w:val="00093474"/>
    <w:rsid w:val="0009510F"/>
    <w:rsid w:val="000A1526"/>
    <w:rsid w:val="000A1B7B"/>
    <w:rsid w:val="000A56F2"/>
    <w:rsid w:val="000A7531"/>
    <w:rsid w:val="000B2719"/>
    <w:rsid w:val="000B3A8F"/>
    <w:rsid w:val="000B4063"/>
    <w:rsid w:val="000B479A"/>
    <w:rsid w:val="000B4AB9"/>
    <w:rsid w:val="000B58C3"/>
    <w:rsid w:val="000B61E9"/>
    <w:rsid w:val="000B66AF"/>
    <w:rsid w:val="000C165A"/>
    <w:rsid w:val="000C2E19"/>
    <w:rsid w:val="000C733B"/>
    <w:rsid w:val="000D0D07"/>
    <w:rsid w:val="000D4797"/>
    <w:rsid w:val="000D5A63"/>
    <w:rsid w:val="000E001C"/>
    <w:rsid w:val="000E0527"/>
    <w:rsid w:val="000E1E92"/>
    <w:rsid w:val="000E22B9"/>
    <w:rsid w:val="000E50B6"/>
    <w:rsid w:val="000E6F94"/>
    <w:rsid w:val="000F06D6"/>
    <w:rsid w:val="000F0EB1"/>
    <w:rsid w:val="000F1106"/>
    <w:rsid w:val="000F1A8E"/>
    <w:rsid w:val="000F2894"/>
    <w:rsid w:val="000F3BE9"/>
    <w:rsid w:val="000F3F6C"/>
    <w:rsid w:val="000F5F55"/>
    <w:rsid w:val="000F6111"/>
    <w:rsid w:val="000F6DF3"/>
    <w:rsid w:val="001005FF"/>
    <w:rsid w:val="00103862"/>
    <w:rsid w:val="001062FB"/>
    <w:rsid w:val="001063E6"/>
    <w:rsid w:val="00110F59"/>
    <w:rsid w:val="001122A4"/>
    <w:rsid w:val="00113CF4"/>
    <w:rsid w:val="001153EA"/>
    <w:rsid w:val="00115643"/>
    <w:rsid w:val="00116765"/>
    <w:rsid w:val="001219F5"/>
    <w:rsid w:val="00121A20"/>
    <w:rsid w:val="0012377F"/>
    <w:rsid w:val="00124314"/>
    <w:rsid w:val="00126B4A"/>
    <w:rsid w:val="00132F13"/>
    <w:rsid w:val="00132FD0"/>
    <w:rsid w:val="001344C0"/>
    <w:rsid w:val="001346FA"/>
    <w:rsid w:val="00135252"/>
    <w:rsid w:val="001353D2"/>
    <w:rsid w:val="001360C1"/>
    <w:rsid w:val="00137AB5"/>
    <w:rsid w:val="00137F0B"/>
    <w:rsid w:val="00143088"/>
    <w:rsid w:val="00151E23"/>
    <w:rsid w:val="001526E0"/>
    <w:rsid w:val="001551B5"/>
    <w:rsid w:val="001659C1"/>
    <w:rsid w:val="00170EC9"/>
    <w:rsid w:val="00172714"/>
    <w:rsid w:val="00173A8E"/>
    <w:rsid w:val="0017502C"/>
    <w:rsid w:val="0018011E"/>
    <w:rsid w:val="0018143F"/>
    <w:rsid w:val="00181FF8"/>
    <w:rsid w:val="001845EC"/>
    <w:rsid w:val="00190AC1"/>
    <w:rsid w:val="00192CE6"/>
    <w:rsid w:val="0019341A"/>
    <w:rsid w:val="00194A57"/>
    <w:rsid w:val="00197DF9"/>
    <w:rsid w:val="001A1987"/>
    <w:rsid w:val="001A2564"/>
    <w:rsid w:val="001A6173"/>
    <w:rsid w:val="001A6CBA"/>
    <w:rsid w:val="001B0D97"/>
    <w:rsid w:val="001B5A5D"/>
    <w:rsid w:val="001C1CE5"/>
    <w:rsid w:val="001C3D2A"/>
    <w:rsid w:val="001C401B"/>
    <w:rsid w:val="001C4A60"/>
    <w:rsid w:val="001C69CD"/>
    <w:rsid w:val="001D23E8"/>
    <w:rsid w:val="001D2DC6"/>
    <w:rsid w:val="001D4589"/>
    <w:rsid w:val="001D51BA"/>
    <w:rsid w:val="001D53E7"/>
    <w:rsid w:val="001D6342"/>
    <w:rsid w:val="001D6352"/>
    <w:rsid w:val="001D6D53"/>
    <w:rsid w:val="001E03D5"/>
    <w:rsid w:val="001E58E2"/>
    <w:rsid w:val="001E7AED"/>
    <w:rsid w:val="001F0428"/>
    <w:rsid w:val="001F0870"/>
    <w:rsid w:val="001F0E99"/>
    <w:rsid w:val="001F3916"/>
    <w:rsid w:val="001F3C1F"/>
    <w:rsid w:val="001F54C5"/>
    <w:rsid w:val="001F662C"/>
    <w:rsid w:val="001F7074"/>
    <w:rsid w:val="00200490"/>
    <w:rsid w:val="00201F3A"/>
    <w:rsid w:val="00202BA5"/>
    <w:rsid w:val="00203668"/>
    <w:rsid w:val="00203F96"/>
    <w:rsid w:val="002045A6"/>
    <w:rsid w:val="002069B2"/>
    <w:rsid w:val="00207FA3"/>
    <w:rsid w:val="00214DA8"/>
    <w:rsid w:val="00215423"/>
    <w:rsid w:val="002158FA"/>
    <w:rsid w:val="00220600"/>
    <w:rsid w:val="002224DB"/>
    <w:rsid w:val="00223FCB"/>
    <w:rsid w:val="00224D19"/>
    <w:rsid w:val="002252C3"/>
    <w:rsid w:val="00225C54"/>
    <w:rsid w:val="00230765"/>
    <w:rsid w:val="00230D18"/>
    <w:rsid w:val="002319E4"/>
    <w:rsid w:val="00232F5E"/>
    <w:rsid w:val="00235632"/>
    <w:rsid w:val="00235872"/>
    <w:rsid w:val="00241559"/>
    <w:rsid w:val="002435B3"/>
    <w:rsid w:val="002458EB"/>
    <w:rsid w:val="00247421"/>
    <w:rsid w:val="002500C8"/>
    <w:rsid w:val="00257543"/>
    <w:rsid w:val="002617E7"/>
    <w:rsid w:val="00262901"/>
    <w:rsid w:val="00264228"/>
    <w:rsid w:val="00264334"/>
    <w:rsid w:val="0026473E"/>
    <w:rsid w:val="00266214"/>
    <w:rsid w:val="00267C83"/>
    <w:rsid w:val="0027144F"/>
    <w:rsid w:val="00271813"/>
    <w:rsid w:val="00271F3A"/>
    <w:rsid w:val="00273278"/>
    <w:rsid w:val="002737F4"/>
    <w:rsid w:val="002771EE"/>
    <w:rsid w:val="00277278"/>
    <w:rsid w:val="002805F5"/>
    <w:rsid w:val="00280751"/>
    <w:rsid w:val="0028280A"/>
    <w:rsid w:val="00286ACD"/>
    <w:rsid w:val="00287632"/>
    <w:rsid w:val="00287838"/>
    <w:rsid w:val="002907B5"/>
    <w:rsid w:val="00292EB7"/>
    <w:rsid w:val="00294F0C"/>
    <w:rsid w:val="00296227"/>
    <w:rsid w:val="00296F44"/>
    <w:rsid w:val="0029777D"/>
    <w:rsid w:val="002A055E"/>
    <w:rsid w:val="002A1D4E"/>
    <w:rsid w:val="002A2869"/>
    <w:rsid w:val="002A500B"/>
    <w:rsid w:val="002B0F1A"/>
    <w:rsid w:val="002B24D6"/>
    <w:rsid w:val="002C41E6"/>
    <w:rsid w:val="002D071A"/>
    <w:rsid w:val="002D1458"/>
    <w:rsid w:val="002D15C1"/>
    <w:rsid w:val="002D331E"/>
    <w:rsid w:val="002D34B2"/>
    <w:rsid w:val="002D48B0"/>
    <w:rsid w:val="002D5B37"/>
    <w:rsid w:val="002D5D2B"/>
    <w:rsid w:val="002D7637"/>
    <w:rsid w:val="002E11E4"/>
    <w:rsid w:val="002E17F2"/>
    <w:rsid w:val="002E7CAE"/>
    <w:rsid w:val="002F2771"/>
    <w:rsid w:val="002F2FD1"/>
    <w:rsid w:val="002F37A9"/>
    <w:rsid w:val="002F3DDA"/>
    <w:rsid w:val="002F5EEE"/>
    <w:rsid w:val="002F7F2A"/>
    <w:rsid w:val="00301CE6"/>
    <w:rsid w:val="0030256B"/>
    <w:rsid w:val="0030501F"/>
    <w:rsid w:val="00307643"/>
    <w:rsid w:val="00307BA1"/>
    <w:rsid w:val="003102FC"/>
    <w:rsid w:val="00311702"/>
    <w:rsid w:val="00311E82"/>
    <w:rsid w:val="00313FD6"/>
    <w:rsid w:val="003143BD"/>
    <w:rsid w:val="00315363"/>
    <w:rsid w:val="003169C6"/>
    <w:rsid w:val="003203ED"/>
    <w:rsid w:val="00322C9F"/>
    <w:rsid w:val="00323E31"/>
    <w:rsid w:val="00324D23"/>
    <w:rsid w:val="00331751"/>
    <w:rsid w:val="00332A66"/>
    <w:rsid w:val="00334579"/>
    <w:rsid w:val="00335858"/>
    <w:rsid w:val="00336BDA"/>
    <w:rsid w:val="0034013D"/>
    <w:rsid w:val="003411C6"/>
    <w:rsid w:val="00342BD7"/>
    <w:rsid w:val="0034601D"/>
    <w:rsid w:val="00346DB5"/>
    <w:rsid w:val="003477B1"/>
    <w:rsid w:val="00353CC6"/>
    <w:rsid w:val="003548B8"/>
    <w:rsid w:val="00356E34"/>
    <w:rsid w:val="00357380"/>
    <w:rsid w:val="003602D9"/>
    <w:rsid w:val="003604CE"/>
    <w:rsid w:val="003709BF"/>
    <w:rsid w:val="00370E47"/>
    <w:rsid w:val="00373885"/>
    <w:rsid w:val="00373BCD"/>
    <w:rsid w:val="003742AC"/>
    <w:rsid w:val="003775BD"/>
    <w:rsid w:val="00377CE1"/>
    <w:rsid w:val="00385BF0"/>
    <w:rsid w:val="0039160F"/>
    <w:rsid w:val="003918A6"/>
    <w:rsid w:val="00392BE3"/>
    <w:rsid w:val="003939FF"/>
    <w:rsid w:val="003964DE"/>
    <w:rsid w:val="003A2223"/>
    <w:rsid w:val="003A2A0F"/>
    <w:rsid w:val="003A45A1"/>
    <w:rsid w:val="003A5B0A"/>
    <w:rsid w:val="003A6BAC"/>
    <w:rsid w:val="003A70A4"/>
    <w:rsid w:val="003A7EF3"/>
    <w:rsid w:val="003B159C"/>
    <w:rsid w:val="003B369F"/>
    <w:rsid w:val="003B36A3"/>
    <w:rsid w:val="003B64BB"/>
    <w:rsid w:val="003B66D4"/>
    <w:rsid w:val="003B7BA7"/>
    <w:rsid w:val="003B7FE5"/>
    <w:rsid w:val="003C11C8"/>
    <w:rsid w:val="003C1F41"/>
    <w:rsid w:val="003C2702"/>
    <w:rsid w:val="003C7806"/>
    <w:rsid w:val="003D0CCC"/>
    <w:rsid w:val="003D109F"/>
    <w:rsid w:val="003D2478"/>
    <w:rsid w:val="003D3C45"/>
    <w:rsid w:val="003D4EB6"/>
    <w:rsid w:val="003D5B1F"/>
    <w:rsid w:val="003E15FA"/>
    <w:rsid w:val="003E2134"/>
    <w:rsid w:val="003E55E4"/>
    <w:rsid w:val="003E74E3"/>
    <w:rsid w:val="003F05C7"/>
    <w:rsid w:val="003F2CD4"/>
    <w:rsid w:val="003F6BBE"/>
    <w:rsid w:val="003F6F2F"/>
    <w:rsid w:val="004000E8"/>
    <w:rsid w:val="00400A90"/>
    <w:rsid w:val="00402E2B"/>
    <w:rsid w:val="00403876"/>
    <w:rsid w:val="0040512B"/>
    <w:rsid w:val="00405CA5"/>
    <w:rsid w:val="00405F91"/>
    <w:rsid w:val="00407CD3"/>
    <w:rsid w:val="00410134"/>
    <w:rsid w:val="00410B72"/>
    <w:rsid w:val="00410F18"/>
    <w:rsid w:val="00411DBC"/>
    <w:rsid w:val="0041263E"/>
    <w:rsid w:val="00413AAC"/>
    <w:rsid w:val="00413E92"/>
    <w:rsid w:val="00416441"/>
    <w:rsid w:val="00417CC3"/>
    <w:rsid w:val="00421105"/>
    <w:rsid w:val="00421C87"/>
    <w:rsid w:val="00422AA4"/>
    <w:rsid w:val="00423BA7"/>
    <w:rsid w:val="004242F4"/>
    <w:rsid w:val="00425B2E"/>
    <w:rsid w:val="00427248"/>
    <w:rsid w:val="004353AF"/>
    <w:rsid w:val="00437447"/>
    <w:rsid w:val="00441A92"/>
    <w:rsid w:val="004431DC"/>
    <w:rsid w:val="00443B36"/>
    <w:rsid w:val="0044473A"/>
    <w:rsid w:val="00444F56"/>
    <w:rsid w:val="00446488"/>
    <w:rsid w:val="004517AA"/>
    <w:rsid w:val="00452CAC"/>
    <w:rsid w:val="00455651"/>
    <w:rsid w:val="00457565"/>
    <w:rsid w:val="00457B71"/>
    <w:rsid w:val="00462F8D"/>
    <w:rsid w:val="00463D63"/>
    <w:rsid w:val="004669E2"/>
    <w:rsid w:val="00470C31"/>
    <w:rsid w:val="00471DE0"/>
    <w:rsid w:val="004734D0"/>
    <w:rsid w:val="00473C75"/>
    <w:rsid w:val="00474445"/>
    <w:rsid w:val="0047556B"/>
    <w:rsid w:val="00477768"/>
    <w:rsid w:val="00481CB6"/>
    <w:rsid w:val="004828C0"/>
    <w:rsid w:val="00482E31"/>
    <w:rsid w:val="0049100B"/>
    <w:rsid w:val="00492BC5"/>
    <w:rsid w:val="004964F1"/>
    <w:rsid w:val="004A16BC"/>
    <w:rsid w:val="004A21B3"/>
    <w:rsid w:val="004A2B94"/>
    <w:rsid w:val="004A7A3F"/>
    <w:rsid w:val="004B6F6A"/>
    <w:rsid w:val="004B7C0C"/>
    <w:rsid w:val="004C3898"/>
    <w:rsid w:val="004D36B1"/>
    <w:rsid w:val="004D618D"/>
    <w:rsid w:val="004D7EBD"/>
    <w:rsid w:val="004E2680"/>
    <w:rsid w:val="004E28F9"/>
    <w:rsid w:val="004E3A7D"/>
    <w:rsid w:val="004E462E"/>
    <w:rsid w:val="004E56DC"/>
    <w:rsid w:val="004E66CB"/>
    <w:rsid w:val="004E76F4"/>
    <w:rsid w:val="004F0B4E"/>
    <w:rsid w:val="004F0B6C"/>
    <w:rsid w:val="004F2078"/>
    <w:rsid w:val="004F4DA3"/>
    <w:rsid w:val="00504E22"/>
    <w:rsid w:val="005063E3"/>
    <w:rsid w:val="00506557"/>
    <w:rsid w:val="0050677A"/>
    <w:rsid w:val="005108D8"/>
    <w:rsid w:val="005116F9"/>
    <w:rsid w:val="005153A7"/>
    <w:rsid w:val="00516CE1"/>
    <w:rsid w:val="005219CF"/>
    <w:rsid w:val="005272BB"/>
    <w:rsid w:val="005273CA"/>
    <w:rsid w:val="00534B59"/>
    <w:rsid w:val="00536759"/>
    <w:rsid w:val="00537C62"/>
    <w:rsid w:val="00537CFA"/>
    <w:rsid w:val="00540DD8"/>
    <w:rsid w:val="00543171"/>
    <w:rsid w:val="00546970"/>
    <w:rsid w:val="005472AC"/>
    <w:rsid w:val="00547E4A"/>
    <w:rsid w:val="00554E19"/>
    <w:rsid w:val="0056121F"/>
    <w:rsid w:val="00572505"/>
    <w:rsid w:val="0057391A"/>
    <w:rsid w:val="00582809"/>
    <w:rsid w:val="00582C8D"/>
    <w:rsid w:val="0058457F"/>
    <w:rsid w:val="0058798C"/>
    <w:rsid w:val="005900FA"/>
    <w:rsid w:val="005935A4"/>
    <w:rsid w:val="005948C2"/>
    <w:rsid w:val="00595354"/>
    <w:rsid w:val="00595DCA"/>
    <w:rsid w:val="0059779B"/>
    <w:rsid w:val="005A209A"/>
    <w:rsid w:val="005A31F6"/>
    <w:rsid w:val="005A662D"/>
    <w:rsid w:val="005B1409"/>
    <w:rsid w:val="005B3251"/>
    <w:rsid w:val="005B35D7"/>
    <w:rsid w:val="005B392A"/>
    <w:rsid w:val="005B3AA3"/>
    <w:rsid w:val="005B414D"/>
    <w:rsid w:val="005B6F83"/>
    <w:rsid w:val="005C74FB"/>
    <w:rsid w:val="005D1602"/>
    <w:rsid w:val="005D3FFE"/>
    <w:rsid w:val="005E385F"/>
    <w:rsid w:val="005E5B81"/>
    <w:rsid w:val="005E62EF"/>
    <w:rsid w:val="005F0E29"/>
    <w:rsid w:val="005F2CB1"/>
    <w:rsid w:val="005F3025"/>
    <w:rsid w:val="005F618C"/>
    <w:rsid w:val="005F70BD"/>
    <w:rsid w:val="006008D4"/>
    <w:rsid w:val="0060283C"/>
    <w:rsid w:val="00604F14"/>
    <w:rsid w:val="00611B83"/>
    <w:rsid w:val="00613257"/>
    <w:rsid w:val="00620157"/>
    <w:rsid w:val="00620A71"/>
    <w:rsid w:val="00620D80"/>
    <w:rsid w:val="006234A6"/>
    <w:rsid w:val="00630001"/>
    <w:rsid w:val="006311B3"/>
    <w:rsid w:val="0063284C"/>
    <w:rsid w:val="00636398"/>
    <w:rsid w:val="006368D3"/>
    <w:rsid w:val="006377EC"/>
    <w:rsid w:val="0064151F"/>
    <w:rsid w:val="00641533"/>
    <w:rsid w:val="0064208D"/>
    <w:rsid w:val="00642836"/>
    <w:rsid w:val="00643475"/>
    <w:rsid w:val="0064396A"/>
    <w:rsid w:val="0064624E"/>
    <w:rsid w:val="00650AB9"/>
    <w:rsid w:val="00655733"/>
    <w:rsid w:val="00655ACD"/>
    <w:rsid w:val="00656A92"/>
    <w:rsid w:val="00656DDE"/>
    <w:rsid w:val="0066011D"/>
    <w:rsid w:val="006607C0"/>
    <w:rsid w:val="006613A6"/>
    <w:rsid w:val="006626A4"/>
    <w:rsid w:val="006627A2"/>
    <w:rsid w:val="006634E6"/>
    <w:rsid w:val="006655EE"/>
    <w:rsid w:val="00667EE7"/>
    <w:rsid w:val="00670922"/>
    <w:rsid w:val="00670BE1"/>
    <w:rsid w:val="0067218F"/>
    <w:rsid w:val="006741F2"/>
    <w:rsid w:val="00674CC3"/>
    <w:rsid w:val="00675C72"/>
    <w:rsid w:val="006771F9"/>
    <w:rsid w:val="006776D7"/>
    <w:rsid w:val="00680D94"/>
    <w:rsid w:val="00680DFA"/>
    <w:rsid w:val="00681003"/>
    <w:rsid w:val="006817C9"/>
    <w:rsid w:val="00683ECE"/>
    <w:rsid w:val="00686BBC"/>
    <w:rsid w:val="00695FC2"/>
    <w:rsid w:val="00696949"/>
    <w:rsid w:val="00697052"/>
    <w:rsid w:val="006A46FB"/>
    <w:rsid w:val="006A5E28"/>
    <w:rsid w:val="006A697B"/>
    <w:rsid w:val="006A7AFF"/>
    <w:rsid w:val="006B0262"/>
    <w:rsid w:val="006B1816"/>
    <w:rsid w:val="006B2099"/>
    <w:rsid w:val="006B25AD"/>
    <w:rsid w:val="006B3E91"/>
    <w:rsid w:val="006B4E1A"/>
    <w:rsid w:val="006B50CF"/>
    <w:rsid w:val="006B5163"/>
    <w:rsid w:val="006C03B8"/>
    <w:rsid w:val="006C5EC9"/>
    <w:rsid w:val="006C6059"/>
    <w:rsid w:val="006C7522"/>
    <w:rsid w:val="006D2D2F"/>
    <w:rsid w:val="006D4171"/>
    <w:rsid w:val="006D523E"/>
    <w:rsid w:val="006D6F08"/>
    <w:rsid w:val="006E062C"/>
    <w:rsid w:val="006E1C82"/>
    <w:rsid w:val="006E264B"/>
    <w:rsid w:val="006E28B7"/>
    <w:rsid w:val="006E2A9B"/>
    <w:rsid w:val="006E3310"/>
    <w:rsid w:val="006E4E39"/>
    <w:rsid w:val="006E565E"/>
    <w:rsid w:val="006E673D"/>
    <w:rsid w:val="006E74C3"/>
    <w:rsid w:val="006E7D3B"/>
    <w:rsid w:val="006F1B70"/>
    <w:rsid w:val="006F20FD"/>
    <w:rsid w:val="006F341D"/>
    <w:rsid w:val="006F38AA"/>
    <w:rsid w:val="006F3CDE"/>
    <w:rsid w:val="006F4BC1"/>
    <w:rsid w:val="006F58D4"/>
    <w:rsid w:val="006F6582"/>
    <w:rsid w:val="007007CA"/>
    <w:rsid w:val="0070346E"/>
    <w:rsid w:val="00704EDB"/>
    <w:rsid w:val="00706101"/>
    <w:rsid w:val="00707072"/>
    <w:rsid w:val="00707D61"/>
    <w:rsid w:val="00712287"/>
    <w:rsid w:val="00712772"/>
    <w:rsid w:val="007148D3"/>
    <w:rsid w:val="00715B9A"/>
    <w:rsid w:val="00715FA7"/>
    <w:rsid w:val="007217FE"/>
    <w:rsid w:val="007257D0"/>
    <w:rsid w:val="00726EA6"/>
    <w:rsid w:val="00727208"/>
    <w:rsid w:val="00727680"/>
    <w:rsid w:val="007348B1"/>
    <w:rsid w:val="00735DE2"/>
    <w:rsid w:val="007362A6"/>
    <w:rsid w:val="00736D7D"/>
    <w:rsid w:val="00740E58"/>
    <w:rsid w:val="007411BD"/>
    <w:rsid w:val="00742ED6"/>
    <w:rsid w:val="007434E1"/>
    <w:rsid w:val="007445A0"/>
    <w:rsid w:val="0074524B"/>
    <w:rsid w:val="00747D8B"/>
    <w:rsid w:val="007506A2"/>
    <w:rsid w:val="00751228"/>
    <w:rsid w:val="00753D8B"/>
    <w:rsid w:val="007571E1"/>
    <w:rsid w:val="00757A16"/>
    <w:rsid w:val="007604B2"/>
    <w:rsid w:val="00765281"/>
    <w:rsid w:val="00765551"/>
    <w:rsid w:val="00766BAD"/>
    <w:rsid w:val="0076732B"/>
    <w:rsid w:val="0077224F"/>
    <w:rsid w:val="007729A2"/>
    <w:rsid w:val="007755F2"/>
    <w:rsid w:val="00776971"/>
    <w:rsid w:val="00780A80"/>
    <w:rsid w:val="0078177E"/>
    <w:rsid w:val="0078304C"/>
    <w:rsid w:val="007831A7"/>
    <w:rsid w:val="00783673"/>
    <w:rsid w:val="00785490"/>
    <w:rsid w:val="00791415"/>
    <w:rsid w:val="007925EA"/>
    <w:rsid w:val="00793CD8"/>
    <w:rsid w:val="00795C92"/>
    <w:rsid w:val="00796231"/>
    <w:rsid w:val="007A1CB3"/>
    <w:rsid w:val="007A306F"/>
    <w:rsid w:val="007A43A6"/>
    <w:rsid w:val="007A58A6"/>
    <w:rsid w:val="007A64C1"/>
    <w:rsid w:val="007A743D"/>
    <w:rsid w:val="007B3D2D"/>
    <w:rsid w:val="007B4DF0"/>
    <w:rsid w:val="007B50AE"/>
    <w:rsid w:val="007B51DF"/>
    <w:rsid w:val="007C05DD"/>
    <w:rsid w:val="007C0B50"/>
    <w:rsid w:val="007C1C72"/>
    <w:rsid w:val="007C3D18"/>
    <w:rsid w:val="007C60BF"/>
    <w:rsid w:val="007C6A07"/>
    <w:rsid w:val="007C75A1"/>
    <w:rsid w:val="007C77A5"/>
    <w:rsid w:val="007D04E5"/>
    <w:rsid w:val="007D4101"/>
    <w:rsid w:val="007D5901"/>
    <w:rsid w:val="007D5BCA"/>
    <w:rsid w:val="007D7526"/>
    <w:rsid w:val="007E4610"/>
    <w:rsid w:val="007E4715"/>
    <w:rsid w:val="007E505B"/>
    <w:rsid w:val="007E5181"/>
    <w:rsid w:val="007E7091"/>
    <w:rsid w:val="00803FAE"/>
    <w:rsid w:val="00805630"/>
    <w:rsid w:val="0080605F"/>
    <w:rsid w:val="00807786"/>
    <w:rsid w:val="00811FCB"/>
    <w:rsid w:val="00813E92"/>
    <w:rsid w:val="008147E0"/>
    <w:rsid w:val="008158D6"/>
    <w:rsid w:val="00817196"/>
    <w:rsid w:val="008223B8"/>
    <w:rsid w:val="0082319B"/>
    <w:rsid w:val="008235DB"/>
    <w:rsid w:val="00824AB4"/>
    <w:rsid w:val="00825C42"/>
    <w:rsid w:val="00825D25"/>
    <w:rsid w:val="00827D6F"/>
    <w:rsid w:val="008376AC"/>
    <w:rsid w:val="008444E8"/>
    <w:rsid w:val="00844E80"/>
    <w:rsid w:val="00846FE7"/>
    <w:rsid w:val="00856911"/>
    <w:rsid w:val="00862E39"/>
    <w:rsid w:val="00863691"/>
    <w:rsid w:val="00864805"/>
    <w:rsid w:val="008677FD"/>
    <w:rsid w:val="008706D4"/>
    <w:rsid w:val="00870F8A"/>
    <w:rsid w:val="008719A4"/>
    <w:rsid w:val="00871D23"/>
    <w:rsid w:val="00874312"/>
    <w:rsid w:val="0087437C"/>
    <w:rsid w:val="00875CD7"/>
    <w:rsid w:val="00876B4D"/>
    <w:rsid w:val="00877F18"/>
    <w:rsid w:val="008810D3"/>
    <w:rsid w:val="00892E99"/>
    <w:rsid w:val="008941E3"/>
    <w:rsid w:val="00894A88"/>
    <w:rsid w:val="00895386"/>
    <w:rsid w:val="008A0D15"/>
    <w:rsid w:val="008A21FF"/>
    <w:rsid w:val="008A2CE2"/>
    <w:rsid w:val="008A30AC"/>
    <w:rsid w:val="008A44B8"/>
    <w:rsid w:val="008A51A8"/>
    <w:rsid w:val="008A54C7"/>
    <w:rsid w:val="008A77D8"/>
    <w:rsid w:val="008B0483"/>
    <w:rsid w:val="008B120C"/>
    <w:rsid w:val="008B51A0"/>
    <w:rsid w:val="008B592A"/>
    <w:rsid w:val="008B5F03"/>
    <w:rsid w:val="008B7B5C"/>
    <w:rsid w:val="008C0C99"/>
    <w:rsid w:val="008C2017"/>
    <w:rsid w:val="008C4958"/>
    <w:rsid w:val="008C4BAA"/>
    <w:rsid w:val="008C5B06"/>
    <w:rsid w:val="008C6AE8"/>
    <w:rsid w:val="008C7573"/>
    <w:rsid w:val="008D00A5"/>
    <w:rsid w:val="008D34F1"/>
    <w:rsid w:val="008D39D8"/>
    <w:rsid w:val="008D3FA4"/>
    <w:rsid w:val="008D5257"/>
    <w:rsid w:val="008D6D1A"/>
    <w:rsid w:val="008E065E"/>
    <w:rsid w:val="008E0927"/>
    <w:rsid w:val="008E1909"/>
    <w:rsid w:val="008E264E"/>
    <w:rsid w:val="008E5E02"/>
    <w:rsid w:val="008E784A"/>
    <w:rsid w:val="008F1EAB"/>
    <w:rsid w:val="008F33DC"/>
    <w:rsid w:val="008F477F"/>
    <w:rsid w:val="00902350"/>
    <w:rsid w:val="0090336B"/>
    <w:rsid w:val="009053AA"/>
    <w:rsid w:val="0090601B"/>
    <w:rsid w:val="00906939"/>
    <w:rsid w:val="00910B7D"/>
    <w:rsid w:val="00910E29"/>
    <w:rsid w:val="00911DFB"/>
    <w:rsid w:val="009139D9"/>
    <w:rsid w:val="00914AD8"/>
    <w:rsid w:val="00916079"/>
    <w:rsid w:val="00917CE9"/>
    <w:rsid w:val="00920BF2"/>
    <w:rsid w:val="00922010"/>
    <w:rsid w:val="009240E3"/>
    <w:rsid w:val="00931BD9"/>
    <w:rsid w:val="009368F3"/>
    <w:rsid w:val="00941636"/>
    <w:rsid w:val="00943742"/>
    <w:rsid w:val="00945C05"/>
    <w:rsid w:val="00946945"/>
    <w:rsid w:val="00947713"/>
    <w:rsid w:val="00950098"/>
    <w:rsid w:val="00950DE7"/>
    <w:rsid w:val="00951E93"/>
    <w:rsid w:val="00953920"/>
    <w:rsid w:val="00953D47"/>
    <w:rsid w:val="00953DAB"/>
    <w:rsid w:val="0095681E"/>
    <w:rsid w:val="009572D4"/>
    <w:rsid w:val="00961921"/>
    <w:rsid w:val="0096430A"/>
    <w:rsid w:val="009651C6"/>
    <w:rsid w:val="0096554B"/>
    <w:rsid w:val="0096584A"/>
    <w:rsid w:val="0097087D"/>
    <w:rsid w:val="00971F08"/>
    <w:rsid w:val="0097603D"/>
    <w:rsid w:val="00976949"/>
    <w:rsid w:val="00980477"/>
    <w:rsid w:val="00985253"/>
    <w:rsid w:val="009853B3"/>
    <w:rsid w:val="00990630"/>
    <w:rsid w:val="00991761"/>
    <w:rsid w:val="00992543"/>
    <w:rsid w:val="00994DCA"/>
    <w:rsid w:val="009960EC"/>
    <w:rsid w:val="009970DD"/>
    <w:rsid w:val="009A0FBA"/>
    <w:rsid w:val="009A1601"/>
    <w:rsid w:val="009A3BB6"/>
    <w:rsid w:val="009A3DB5"/>
    <w:rsid w:val="009A462D"/>
    <w:rsid w:val="009A5CBA"/>
    <w:rsid w:val="009A7523"/>
    <w:rsid w:val="009B1F30"/>
    <w:rsid w:val="009B3AC2"/>
    <w:rsid w:val="009B3BA7"/>
    <w:rsid w:val="009B42C0"/>
    <w:rsid w:val="009B4DF4"/>
    <w:rsid w:val="009B564E"/>
    <w:rsid w:val="009B7E87"/>
    <w:rsid w:val="009C0169"/>
    <w:rsid w:val="009C403E"/>
    <w:rsid w:val="009C439C"/>
    <w:rsid w:val="009D0798"/>
    <w:rsid w:val="009D4FF0"/>
    <w:rsid w:val="009D703C"/>
    <w:rsid w:val="009D718F"/>
    <w:rsid w:val="009E068F"/>
    <w:rsid w:val="009E14E0"/>
    <w:rsid w:val="009E35DB"/>
    <w:rsid w:val="009E3715"/>
    <w:rsid w:val="009E47A3"/>
    <w:rsid w:val="009F08F3"/>
    <w:rsid w:val="009F344F"/>
    <w:rsid w:val="009F4CE5"/>
    <w:rsid w:val="00A031D8"/>
    <w:rsid w:val="00A03640"/>
    <w:rsid w:val="00A036F9"/>
    <w:rsid w:val="00A048A8"/>
    <w:rsid w:val="00A04F49"/>
    <w:rsid w:val="00A13718"/>
    <w:rsid w:val="00A13E54"/>
    <w:rsid w:val="00A1760B"/>
    <w:rsid w:val="00A17F63"/>
    <w:rsid w:val="00A2193B"/>
    <w:rsid w:val="00A2351A"/>
    <w:rsid w:val="00A264A9"/>
    <w:rsid w:val="00A26DCF"/>
    <w:rsid w:val="00A27785"/>
    <w:rsid w:val="00A30187"/>
    <w:rsid w:val="00A3448A"/>
    <w:rsid w:val="00A36297"/>
    <w:rsid w:val="00A4016F"/>
    <w:rsid w:val="00A41E2B"/>
    <w:rsid w:val="00A45B74"/>
    <w:rsid w:val="00A52E1D"/>
    <w:rsid w:val="00A56DA8"/>
    <w:rsid w:val="00A57D67"/>
    <w:rsid w:val="00A6083C"/>
    <w:rsid w:val="00A61499"/>
    <w:rsid w:val="00A62A77"/>
    <w:rsid w:val="00A63483"/>
    <w:rsid w:val="00A657D7"/>
    <w:rsid w:val="00A65CF7"/>
    <w:rsid w:val="00A660AC"/>
    <w:rsid w:val="00A67E6C"/>
    <w:rsid w:val="00A71B99"/>
    <w:rsid w:val="00A739D0"/>
    <w:rsid w:val="00A761D4"/>
    <w:rsid w:val="00A77EC4"/>
    <w:rsid w:val="00A80197"/>
    <w:rsid w:val="00A92879"/>
    <w:rsid w:val="00A9442A"/>
    <w:rsid w:val="00AA016F"/>
    <w:rsid w:val="00AA1ED6"/>
    <w:rsid w:val="00AA51D6"/>
    <w:rsid w:val="00AA5776"/>
    <w:rsid w:val="00AB0BC8"/>
    <w:rsid w:val="00AB11CA"/>
    <w:rsid w:val="00AB14D9"/>
    <w:rsid w:val="00AB2744"/>
    <w:rsid w:val="00AB4AB8"/>
    <w:rsid w:val="00AB655E"/>
    <w:rsid w:val="00AC007F"/>
    <w:rsid w:val="00AC16C3"/>
    <w:rsid w:val="00AC2ECD"/>
    <w:rsid w:val="00AC3119"/>
    <w:rsid w:val="00AC49FB"/>
    <w:rsid w:val="00AC5A10"/>
    <w:rsid w:val="00AD0AA3"/>
    <w:rsid w:val="00AD3F94"/>
    <w:rsid w:val="00AD4A5A"/>
    <w:rsid w:val="00AE1D7A"/>
    <w:rsid w:val="00AE244A"/>
    <w:rsid w:val="00AE27AC"/>
    <w:rsid w:val="00AE40E0"/>
    <w:rsid w:val="00AE4DBA"/>
    <w:rsid w:val="00AE4F07"/>
    <w:rsid w:val="00AF1C5D"/>
    <w:rsid w:val="00AF2CBA"/>
    <w:rsid w:val="00AF42D7"/>
    <w:rsid w:val="00B00228"/>
    <w:rsid w:val="00B006FE"/>
    <w:rsid w:val="00B007CB"/>
    <w:rsid w:val="00B02AA9"/>
    <w:rsid w:val="00B02FA3"/>
    <w:rsid w:val="00B05084"/>
    <w:rsid w:val="00B07C5B"/>
    <w:rsid w:val="00B100A8"/>
    <w:rsid w:val="00B157F9"/>
    <w:rsid w:val="00B16922"/>
    <w:rsid w:val="00B17D58"/>
    <w:rsid w:val="00B20256"/>
    <w:rsid w:val="00B20D09"/>
    <w:rsid w:val="00B21BE2"/>
    <w:rsid w:val="00B2763F"/>
    <w:rsid w:val="00B27AAC"/>
    <w:rsid w:val="00B30929"/>
    <w:rsid w:val="00B3109F"/>
    <w:rsid w:val="00B372AA"/>
    <w:rsid w:val="00B40445"/>
    <w:rsid w:val="00B409E0"/>
    <w:rsid w:val="00B41888"/>
    <w:rsid w:val="00B458E2"/>
    <w:rsid w:val="00B45A52"/>
    <w:rsid w:val="00B46175"/>
    <w:rsid w:val="00B548B7"/>
    <w:rsid w:val="00B664C7"/>
    <w:rsid w:val="00B739F6"/>
    <w:rsid w:val="00B81A6C"/>
    <w:rsid w:val="00B85DE5"/>
    <w:rsid w:val="00B90F73"/>
    <w:rsid w:val="00B93B59"/>
    <w:rsid w:val="00B9406A"/>
    <w:rsid w:val="00BA2280"/>
    <w:rsid w:val="00BA2A08"/>
    <w:rsid w:val="00BA2D1B"/>
    <w:rsid w:val="00BA56D2"/>
    <w:rsid w:val="00BA76E0"/>
    <w:rsid w:val="00BB2A25"/>
    <w:rsid w:val="00BB51E9"/>
    <w:rsid w:val="00BC0FDC"/>
    <w:rsid w:val="00BC3053"/>
    <w:rsid w:val="00BC34F7"/>
    <w:rsid w:val="00BC4D2E"/>
    <w:rsid w:val="00BD4307"/>
    <w:rsid w:val="00BD48AC"/>
    <w:rsid w:val="00BD5F1A"/>
    <w:rsid w:val="00BD5FAE"/>
    <w:rsid w:val="00BD66C7"/>
    <w:rsid w:val="00BD7892"/>
    <w:rsid w:val="00BE1234"/>
    <w:rsid w:val="00BE2168"/>
    <w:rsid w:val="00BE2FA6"/>
    <w:rsid w:val="00BE333F"/>
    <w:rsid w:val="00BE7406"/>
    <w:rsid w:val="00BE7603"/>
    <w:rsid w:val="00BF3279"/>
    <w:rsid w:val="00BF4C5D"/>
    <w:rsid w:val="00BF5620"/>
    <w:rsid w:val="00BF74C7"/>
    <w:rsid w:val="00C007AC"/>
    <w:rsid w:val="00C015F1"/>
    <w:rsid w:val="00C01F33"/>
    <w:rsid w:val="00C02CC6"/>
    <w:rsid w:val="00C040F7"/>
    <w:rsid w:val="00C044AB"/>
    <w:rsid w:val="00C05706"/>
    <w:rsid w:val="00C064EE"/>
    <w:rsid w:val="00C07377"/>
    <w:rsid w:val="00C10478"/>
    <w:rsid w:val="00C117DB"/>
    <w:rsid w:val="00C12077"/>
    <w:rsid w:val="00C12107"/>
    <w:rsid w:val="00C13C37"/>
    <w:rsid w:val="00C14D4B"/>
    <w:rsid w:val="00C154BB"/>
    <w:rsid w:val="00C268E6"/>
    <w:rsid w:val="00C279B5"/>
    <w:rsid w:val="00C27C45"/>
    <w:rsid w:val="00C3719D"/>
    <w:rsid w:val="00C37CB2"/>
    <w:rsid w:val="00C37E75"/>
    <w:rsid w:val="00C4235B"/>
    <w:rsid w:val="00C473A5"/>
    <w:rsid w:val="00C501CD"/>
    <w:rsid w:val="00C525BA"/>
    <w:rsid w:val="00C54995"/>
    <w:rsid w:val="00C54D41"/>
    <w:rsid w:val="00C60783"/>
    <w:rsid w:val="00C60A8F"/>
    <w:rsid w:val="00C64672"/>
    <w:rsid w:val="00C70697"/>
    <w:rsid w:val="00C72093"/>
    <w:rsid w:val="00C72EF4"/>
    <w:rsid w:val="00C740DC"/>
    <w:rsid w:val="00C744FE"/>
    <w:rsid w:val="00C75D2F"/>
    <w:rsid w:val="00C767BE"/>
    <w:rsid w:val="00C76E3C"/>
    <w:rsid w:val="00C8007B"/>
    <w:rsid w:val="00C81568"/>
    <w:rsid w:val="00C81BB8"/>
    <w:rsid w:val="00C8429E"/>
    <w:rsid w:val="00C9027A"/>
    <w:rsid w:val="00C9068E"/>
    <w:rsid w:val="00C9138B"/>
    <w:rsid w:val="00C93814"/>
    <w:rsid w:val="00C93C4B"/>
    <w:rsid w:val="00C944AB"/>
    <w:rsid w:val="00C95B40"/>
    <w:rsid w:val="00CA1ED8"/>
    <w:rsid w:val="00CB1F63"/>
    <w:rsid w:val="00CB6840"/>
    <w:rsid w:val="00CB7170"/>
    <w:rsid w:val="00CC040E"/>
    <w:rsid w:val="00CC111F"/>
    <w:rsid w:val="00CC2011"/>
    <w:rsid w:val="00CC3EA0"/>
    <w:rsid w:val="00CC7B45"/>
    <w:rsid w:val="00CD1188"/>
    <w:rsid w:val="00CD2ED1"/>
    <w:rsid w:val="00CD337B"/>
    <w:rsid w:val="00CE0424"/>
    <w:rsid w:val="00CE3DC0"/>
    <w:rsid w:val="00CE455A"/>
    <w:rsid w:val="00CE7561"/>
    <w:rsid w:val="00CF1354"/>
    <w:rsid w:val="00CF3B1F"/>
    <w:rsid w:val="00CF3BF6"/>
    <w:rsid w:val="00CF4AC3"/>
    <w:rsid w:val="00CF625B"/>
    <w:rsid w:val="00CF687E"/>
    <w:rsid w:val="00D0349B"/>
    <w:rsid w:val="00D10249"/>
    <w:rsid w:val="00D115C3"/>
    <w:rsid w:val="00D11897"/>
    <w:rsid w:val="00D13135"/>
    <w:rsid w:val="00D13E4E"/>
    <w:rsid w:val="00D14036"/>
    <w:rsid w:val="00D166BB"/>
    <w:rsid w:val="00D239A7"/>
    <w:rsid w:val="00D23F47"/>
    <w:rsid w:val="00D36E71"/>
    <w:rsid w:val="00D37D87"/>
    <w:rsid w:val="00D40B33"/>
    <w:rsid w:val="00D4318F"/>
    <w:rsid w:val="00D438BF"/>
    <w:rsid w:val="00D440F8"/>
    <w:rsid w:val="00D54556"/>
    <w:rsid w:val="00D546FF"/>
    <w:rsid w:val="00D55AD5"/>
    <w:rsid w:val="00D576CA"/>
    <w:rsid w:val="00D60DF4"/>
    <w:rsid w:val="00D61AF5"/>
    <w:rsid w:val="00D64221"/>
    <w:rsid w:val="00D652B5"/>
    <w:rsid w:val="00D65F1A"/>
    <w:rsid w:val="00D66155"/>
    <w:rsid w:val="00D708B0"/>
    <w:rsid w:val="00D732D7"/>
    <w:rsid w:val="00D74F31"/>
    <w:rsid w:val="00D77B1D"/>
    <w:rsid w:val="00D8021F"/>
    <w:rsid w:val="00D80383"/>
    <w:rsid w:val="00D8177E"/>
    <w:rsid w:val="00D823C6"/>
    <w:rsid w:val="00D8327F"/>
    <w:rsid w:val="00D86725"/>
    <w:rsid w:val="00D86CA3"/>
    <w:rsid w:val="00D871CE"/>
    <w:rsid w:val="00D9196D"/>
    <w:rsid w:val="00D92982"/>
    <w:rsid w:val="00D94614"/>
    <w:rsid w:val="00D97217"/>
    <w:rsid w:val="00D97844"/>
    <w:rsid w:val="00DA305E"/>
    <w:rsid w:val="00DA5417"/>
    <w:rsid w:val="00DA56A3"/>
    <w:rsid w:val="00DA56E8"/>
    <w:rsid w:val="00DA5752"/>
    <w:rsid w:val="00DB0A9F"/>
    <w:rsid w:val="00DB377D"/>
    <w:rsid w:val="00DB4150"/>
    <w:rsid w:val="00DB768D"/>
    <w:rsid w:val="00DC2D36"/>
    <w:rsid w:val="00DC53EF"/>
    <w:rsid w:val="00DC59B5"/>
    <w:rsid w:val="00DC622F"/>
    <w:rsid w:val="00DD7CFB"/>
    <w:rsid w:val="00DE2001"/>
    <w:rsid w:val="00DE5608"/>
    <w:rsid w:val="00DE58D0"/>
    <w:rsid w:val="00DE654F"/>
    <w:rsid w:val="00DF0B6E"/>
    <w:rsid w:val="00DF15E0"/>
    <w:rsid w:val="00DF37A0"/>
    <w:rsid w:val="00DF4B0B"/>
    <w:rsid w:val="00E03BC4"/>
    <w:rsid w:val="00E10742"/>
    <w:rsid w:val="00E110E7"/>
    <w:rsid w:val="00E11B20"/>
    <w:rsid w:val="00E17FA2"/>
    <w:rsid w:val="00E22330"/>
    <w:rsid w:val="00E22723"/>
    <w:rsid w:val="00E30B5A"/>
    <w:rsid w:val="00E3123D"/>
    <w:rsid w:val="00E31461"/>
    <w:rsid w:val="00E31D43"/>
    <w:rsid w:val="00E32608"/>
    <w:rsid w:val="00E3272F"/>
    <w:rsid w:val="00E330C2"/>
    <w:rsid w:val="00E34188"/>
    <w:rsid w:val="00E34B6E"/>
    <w:rsid w:val="00E35559"/>
    <w:rsid w:val="00E3723A"/>
    <w:rsid w:val="00E37860"/>
    <w:rsid w:val="00E40684"/>
    <w:rsid w:val="00E446F1"/>
    <w:rsid w:val="00E46886"/>
    <w:rsid w:val="00E47AEF"/>
    <w:rsid w:val="00E53B75"/>
    <w:rsid w:val="00E54E3B"/>
    <w:rsid w:val="00E57565"/>
    <w:rsid w:val="00E62BE1"/>
    <w:rsid w:val="00E63838"/>
    <w:rsid w:val="00E64434"/>
    <w:rsid w:val="00E67C51"/>
    <w:rsid w:val="00E72EFC"/>
    <w:rsid w:val="00E73CCA"/>
    <w:rsid w:val="00E75693"/>
    <w:rsid w:val="00E758EC"/>
    <w:rsid w:val="00E778A3"/>
    <w:rsid w:val="00E8234C"/>
    <w:rsid w:val="00E830A9"/>
    <w:rsid w:val="00E83AA9"/>
    <w:rsid w:val="00E85928"/>
    <w:rsid w:val="00E87822"/>
    <w:rsid w:val="00E90395"/>
    <w:rsid w:val="00E90E49"/>
    <w:rsid w:val="00E917F9"/>
    <w:rsid w:val="00E9291C"/>
    <w:rsid w:val="00E93D1B"/>
    <w:rsid w:val="00E93FFE"/>
    <w:rsid w:val="00E94F8A"/>
    <w:rsid w:val="00E9684B"/>
    <w:rsid w:val="00EA0D4B"/>
    <w:rsid w:val="00EA6A77"/>
    <w:rsid w:val="00EA7A41"/>
    <w:rsid w:val="00EB077B"/>
    <w:rsid w:val="00EB4EA2"/>
    <w:rsid w:val="00EB5935"/>
    <w:rsid w:val="00EB7AED"/>
    <w:rsid w:val="00EC0FEA"/>
    <w:rsid w:val="00EC24D5"/>
    <w:rsid w:val="00EC27C6"/>
    <w:rsid w:val="00EC4207"/>
    <w:rsid w:val="00EC5653"/>
    <w:rsid w:val="00EC71CE"/>
    <w:rsid w:val="00ED1006"/>
    <w:rsid w:val="00EF129D"/>
    <w:rsid w:val="00EF18FE"/>
    <w:rsid w:val="00EF1D18"/>
    <w:rsid w:val="00EF2A21"/>
    <w:rsid w:val="00EF5787"/>
    <w:rsid w:val="00EF60D0"/>
    <w:rsid w:val="00F00613"/>
    <w:rsid w:val="00F03466"/>
    <w:rsid w:val="00F0518F"/>
    <w:rsid w:val="00F0528D"/>
    <w:rsid w:val="00F06C67"/>
    <w:rsid w:val="00F06DFD"/>
    <w:rsid w:val="00F071D1"/>
    <w:rsid w:val="00F07533"/>
    <w:rsid w:val="00F10629"/>
    <w:rsid w:val="00F10B2B"/>
    <w:rsid w:val="00F15FA5"/>
    <w:rsid w:val="00F163C2"/>
    <w:rsid w:val="00F209B7"/>
    <w:rsid w:val="00F20F5C"/>
    <w:rsid w:val="00F21AC9"/>
    <w:rsid w:val="00F2376F"/>
    <w:rsid w:val="00F243D8"/>
    <w:rsid w:val="00F30700"/>
    <w:rsid w:val="00F30828"/>
    <w:rsid w:val="00F313D6"/>
    <w:rsid w:val="00F3779C"/>
    <w:rsid w:val="00F4039C"/>
    <w:rsid w:val="00F40F0C"/>
    <w:rsid w:val="00F413AF"/>
    <w:rsid w:val="00F436A9"/>
    <w:rsid w:val="00F4766C"/>
    <w:rsid w:val="00F5060E"/>
    <w:rsid w:val="00F507D1"/>
    <w:rsid w:val="00F519CE"/>
    <w:rsid w:val="00F51ADA"/>
    <w:rsid w:val="00F60203"/>
    <w:rsid w:val="00F607C5"/>
    <w:rsid w:val="00F60DEA"/>
    <w:rsid w:val="00F61FBC"/>
    <w:rsid w:val="00F6302A"/>
    <w:rsid w:val="00F63950"/>
    <w:rsid w:val="00F64C2B"/>
    <w:rsid w:val="00F651BE"/>
    <w:rsid w:val="00F67F53"/>
    <w:rsid w:val="00F703BE"/>
    <w:rsid w:val="00F71F69"/>
    <w:rsid w:val="00F72B72"/>
    <w:rsid w:val="00F7437D"/>
    <w:rsid w:val="00F74BB9"/>
    <w:rsid w:val="00F75582"/>
    <w:rsid w:val="00F756B5"/>
    <w:rsid w:val="00F76EFA"/>
    <w:rsid w:val="00F804BE"/>
    <w:rsid w:val="00F817CE"/>
    <w:rsid w:val="00F8456C"/>
    <w:rsid w:val="00F8580C"/>
    <w:rsid w:val="00F859D8"/>
    <w:rsid w:val="00F86659"/>
    <w:rsid w:val="00F868F5"/>
    <w:rsid w:val="00F9056A"/>
    <w:rsid w:val="00F90944"/>
    <w:rsid w:val="00F90F8D"/>
    <w:rsid w:val="00F92782"/>
    <w:rsid w:val="00F93AA9"/>
    <w:rsid w:val="00F93F53"/>
    <w:rsid w:val="00F96985"/>
    <w:rsid w:val="00F97838"/>
    <w:rsid w:val="00FA153C"/>
    <w:rsid w:val="00FA23C8"/>
    <w:rsid w:val="00FA2BB3"/>
    <w:rsid w:val="00FA3957"/>
    <w:rsid w:val="00FA7E1B"/>
    <w:rsid w:val="00FB2CCA"/>
    <w:rsid w:val="00FB4C80"/>
    <w:rsid w:val="00FB6A6A"/>
    <w:rsid w:val="00FC0608"/>
    <w:rsid w:val="00FC1940"/>
    <w:rsid w:val="00FC3C30"/>
    <w:rsid w:val="00FC7429"/>
    <w:rsid w:val="00FD07F6"/>
    <w:rsid w:val="00FD1780"/>
    <w:rsid w:val="00FD1EC8"/>
    <w:rsid w:val="00FD40E5"/>
    <w:rsid w:val="00FD4423"/>
    <w:rsid w:val="00FD47ED"/>
    <w:rsid w:val="00FD6F18"/>
    <w:rsid w:val="00FD74DB"/>
    <w:rsid w:val="00FD7660"/>
    <w:rsid w:val="00FE0655"/>
    <w:rsid w:val="00FE2365"/>
    <w:rsid w:val="00FE37D7"/>
    <w:rsid w:val="00FE4C7B"/>
    <w:rsid w:val="00FE618C"/>
    <w:rsid w:val="00FE7336"/>
    <w:rsid w:val="00FE787C"/>
    <w:rsid w:val="00FF3FCA"/>
    <w:rsid w:val="00FF45A5"/>
    <w:rsid w:val="00FF5247"/>
    <w:rsid w:val="00FF5B9B"/>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77170F00-EA32-4E52-B77F-B083CCD74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列表段落11,リスト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rsid w:val="008D3FA4"/>
    <w:rPr>
      <w:rFonts w:eastAsia="SimSun"/>
      <w:lang w:val="en-GB" w:eastAsia="en-US" w:bidi="ar-SA"/>
    </w:rPr>
  </w:style>
  <w:style w:type="paragraph" w:styleId="Revision">
    <w:name w:val="Revision"/>
    <w:hidden/>
    <w:uiPriority w:val="99"/>
    <w:semiHidden/>
    <w:rsid w:val="00C4235B"/>
    <w:rPr>
      <w:rFonts w:ascii="Times New Roman" w:hAnsi="Times New Roman"/>
      <w:lang w:eastAsia="ja-JP"/>
    </w:rPr>
  </w:style>
  <w:style w:type="paragraph" w:customStyle="1" w:styleId="Agreement">
    <w:name w:val="Agreement"/>
    <w:basedOn w:val="Normal"/>
    <w:next w:val="Normal"/>
    <w:qFormat/>
    <w:rsid w:val="00FD40E5"/>
    <w:pPr>
      <w:numPr>
        <w:numId w:val="33"/>
      </w:numPr>
      <w:overflowPunct/>
      <w:autoSpaceDE/>
      <w:autoSpaceDN/>
      <w:adjustRightInd/>
      <w:spacing w:before="60" w:after="0"/>
      <w:textAlignment w:val="auto"/>
    </w:pPr>
    <w:rPr>
      <w:rFonts w:ascii="Arial" w:eastAsia="MS Mincho" w:hAnsi="Arial"/>
      <w:b/>
      <w:szCs w:val="24"/>
      <w:lang w:eastAsia="en-GB"/>
    </w:rPr>
  </w:style>
  <w:style w:type="paragraph" w:styleId="BlockText">
    <w:name w:val="Block Text"/>
    <w:basedOn w:val="Normal"/>
    <w:rsid w:val="0099254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524053361">
      <w:bodyDiv w:val="1"/>
      <w:marLeft w:val="0"/>
      <w:marRight w:val="0"/>
      <w:marTop w:val="0"/>
      <w:marBottom w:val="0"/>
      <w:divBdr>
        <w:top w:val="none" w:sz="0" w:space="0" w:color="auto"/>
        <w:left w:val="none" w:sz="0" w:space="0" w:color="auto"/>
        <w:bottom w:val="none" w:sz="0" w:space="0" w:color="auto"/>
        <w:right w:val="none" w:sz="0" w:space="0" w:color="auto"/>
      </w:divBdr>
    </w:div>
    <w:div w:id="1609846349">
      <w:bodyDiv w:val="1"/>
      <w:marLeft w:val="0"/>
      <w:marRight w:val="0"/>
      <w:marTop w:val="0"/>
      <w:marBottom w:val="0"/>
      <w:divBdr>
        <w:top w:val="none" w:sz="0" w:space="0" w:color="auto"/>
        <w:left w:val="none" w:sz="0" w:space="0" w:color="auto"/>
        <w:bottom w:val="none" w:sz="0" w:space="0" w:color="auto"/>
        <w:right w:val="none" w:sz="0" w:space="0" w:color="auto"/>
      </w:divBdr>
    </w:div>
    <w:div w:id="1821919865">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yperlink" Target="mailto:3GPPLiaison@etsi.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71850A-6886-4C15-8B90-00689CABAF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67434927-D6A7-496B-9845-D5E9F10F4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13</Pages>
  <Words>5814</Words>
  <Characters>30744</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36486</CharactersWithSpaces>
  <SharedDoc>false</SharedDoc>
  <HLinks>
    <vt:vector size="144" baseType="variant">
      <vt:variant>
        <vt:i4>8060928</vt:i4>
      </vt:variant>
      <vt:variant>
        <vt:i4>123</vt:i4>
      </vt:variant>
      <vt:variant>
        <vt:i4>0</vt:i4>
      </vt:variant>
      <vt:variant>
        <vt:i4>5</vt:i4>
      </vt:variant>
      <vt:variant>
        <vt:lpwstr>mailto:3GPPLiaison@etsi.org</vt:lpwstr>
      </vt:variant>
      <vt:variant>
        <vt:lpwstr/>
      </vt:variant>
      <vt:variant>
        <vt:i4>1703986</vt:i4>
      </vt:variant>
      <vt:variant>
        <vt:i4>119</vt:i4>
      </vt:variant>
      <vt:variant>
        <vt:i4>0</vt:i4>
      </vt:variant>
      <vt:variant>
        <vt:i4>5</vt:i4>
      </vt:variant>
      <vt:variant>
        <vt:lpwstr/>
      </vt:variant>
      <vt:variant>
        <vt:lpwstr>_Toc54203069</vt:lpwstr>
      </vt:variant>
      <vt:variant>
        <vt:i4>1769522</vt:i4>
      </vt:variant>
      <vt:variant>
        <vt:i4>116</vt:i4>
      </vt:variant>
      <vt:variant>
        <vt:i4>0</vt:i4>
      </vt:variant>
      <vt:variant>
        <vt:i4>5</vt:i4>
      </vt:variant>
      <vt:variant>
        <vt:lpwstr/>
      </vt:variant>
      <vt:variant>
        <vt:lpwstr>_Toc54203068</vt:lpwstr>
      </vt:variant>
      <vt:variant>
        <vt:i4>1310770</vt:i4>
      </vt:variant>
      <vt:variant>
        <vt:i4>113</vt:i4>
      </vt:variant>
      <vt:variant>
        <vt:i4>0</vt:i4>
      </vt:variant>
      <vt:variant>
        <vt:i4>5</vt:i4>
      </vt:variant>
      <vt:variant>
        <vt:lpwstr/>
      </vt:variant>
      <vt:variant>
        <vt:lpwstr>_Toc54203067</vt:lpwstr>
      </vt:variant>
      <vt:variant>
        <vt:i4>1376306</vt:i4>
      </vt:variant>
      <vt:variant>
        <vt:i4>110</vt:i4>
      </vt:variant>
      <vt:variant>
        <vt:i4>0</vt:i4>
      </vt:variant>
      <vt:variant>
        <vt:i4>5</vt:i4>
      </vt:variant>
      <vt:variant>
        <vt:lpwstr/>
      </vt:variant>
      <vt:variant>
        <vt:lpwstr>_Toc54203066</vt:lpwstr>
      </vt:variant>
      <vt:variant>
        <vt:i4>1441842</vt:i4>
      </vt:variant>
      <vt:variant>
        <vt:i4>107</vt:i4>
      </vt:variant>
      <vt:variant>
        <vt:i4>0</vt:i4>
      </vt:variant>
      <vt:variant>
        <vt:i4>5</vt:i4>
      </vt:variant>
      <vt:variant>
        <vt:lpwstr/>
      </vt:variant>
      <vt:variant>
        <vt:lpwstr>_Toc54203065</vt:lpwstr>
      </vt:variant>
      <vt:variant>
        <vt:i4>1507378</vt:i4>
      </vt:variant>
      <vt:variant>
        <vt:i4>104</vt:i4>
      </vt:variant>
      <vt:variant>
        <vt:i4>0</vt:i4>
      </vt:variant>
      <vt:variant>
        <vt:i4>5</vt:i4>
      </vt:variant>
      <vt:variant>
        <vt:lpwstr/>
      </vt:variant>
      <vt:variant>
        <vt:lpwstr>_Toc54203064</vt:lpwstr>
      </vt:variant>
      <vt:variant>
        <vt:i4>1048626</vt:i4>
      </vt:variant>
      <vt:variant>
        <vt:i4>101</vt:i4>
      </vt:variant>
      <vt:variant>
        <vt:i4>0</vt:i4>
      </vt:variant>
      <vt:variant>
        <vt:i4>5</vt:i4>
      </vt:variant>
      <vt:variant>
        <vt:lpwstr/>
      </vt:variant>
      <vt:variant>
        <vt:lpwstr>_Toc54203063</vt:lpwstr>
      </vt:variant>
      <vt:variant>
        <vt:i4>1114162</vt:i4>
      </vt:variant>
      <vt:variant>
        <vt:i4>98</vt:i4>
      </vt:variant>
      <vt:variant>
        <vt:i4>0</vt:i4>
      </vt:variant>
      <vt:variant>
        <vt:i4>5</vt:i4>
      </vt:variant>
      <vt:variant>
        <vt:lpwstr/>
      </vt:variant>
      <vt:variant>
        <vt:lpwstr>_Toc54203062</vt:lpwstr>
      </vt:variant>
      <vt:variant>
        <vt:i4>1179698</vt:i4>
      </vt:variant>
      <vt:variant>
        <vt:i4>95</vt:i4>
      </vt:variant>
      <vt:variant>
        <vt:i4>0</vt:i4>
      </vt:variant>
      <vt:variant>
        <vt:i4>5</vt:i4>
      </vt:variant>
      <vt:variant>
        <vt:lpwstr/>
      </vt:variant>
      <vt:variant>
        <vt:lpwstr>_Toc54203061</vt:lpwstr>
      </vt:variant>
      <vt:variant>
        <vt:i4>1245234</vt:i4>
      </vt:variant>
      <vt:variant>
        <vt:i4>92</vt:i4>
      </vt:variant>
      <vt:variant>
        <vt:i4>0</vt:i4>
      </vt:variant>
      <vt:variant>
        <vt:i4>5</vt:i4>
      </vt:variant>
      <vt:variant>
        <vt:lpwstr/>
      </vt:variant>
      <vt:variant>
        <vt:lpwstr>_Toc54203060</vt:lpwstr>
      </vt:variant>
      <vt:variant>
        <vt:i4>1703985</vt:i4>
      </vt:variant>
      <vt:variant>
        <vt:i4>89</vt:i4>
      </vt:variant>
      <vt:variant>
        <vt:i4>0</vt:i4>
      </vt:variant>
      <vt:variant>
        <vt:i4>5</vt:i4>
      </vt:variant>
      <vt:variant>
        <vt:lpwstr/>
      </vt:variant>
      <vt:variant>
        <vt:lpwstr>_Toc54203059</vt:lpwstr>
      </vt:variant>
      <vt:variant>
        <vt:i4>1769521</vt:i4>
      </vt:variant>
      <vt:variant>
        <vt:i4>86</vt:i4>
      </vt:variant>
      <vt:variant>
        <vt:i4>0</vt:i4>
      </vt:variant>
      <vt:variant>
        <vt:i4>5</vt:i4>
      </vt:variant>
      <vt:variant>
        <vt:lpwstr/>
      </vt:variant>
      <vt:variant>
        <vt:lpwstr>_Toc54203058</vt:lpwstr>
      </vt:variant>
      <vt:variant>
        <vt:i4>1310769</vt:i4>
      </vt:variant>
      <vt:variant>
        <vt:i4>83</vt:i4>
      </vt:variant>
      <vt:variant>
        <vt:i4>0</vt:i4>
      </vt:variant>
      <vt:variant>
        <vt:i4>5</vt:i4>
      </vt:variant>
      <vt:variant>
        <vt:lpwstr/>
      </vt:variant>
      <vt:variant>
        <vt:lpwstr>_Toc54203057</vt:lpwstr>
      </vt:variant>
      <vt:variant>
        <vt:i4>1376305</vt:i4>
      </vt:variant>
      <vt:variant>
        <vt:i4>80</vt:i4>
      </vt:variant>
      <vt:variant>
        <vt:i4>0</vt:i4>
      </vt:variant>
      <vt:variant>
        <vt:i4>5</vt:i4>
      </vt:variant>
      <vt:variant>
        <vt:lpwstr/>
      </vt:variant>
      <vt:variant>
        <vt:lpwstr>_Toc54203056</vt:lpwstr>
      </vt:variant>
      <vt:variant>
        <vt:i4>1441841</vt:i4>
      </vt:variant>
      <vt:variant>
        <vt:i4>77</vt:i4>
      </vt:variant>
      <vt:variant>
        <vt:i4>0</vt:i4>
      </vt:variant>
      <vt:variant>
        <vt:i4>5</vt:i4>
      </vt:variant>
      <vt:variant>
        <vt:lpwstr/>
      </vt:variant>
      <vt:variant>
        <vt:lpwstr>_Toc54203055</vt:lpwstr>
      </vt:variant>
      <vt:variant>
        <vt:i4>1507377</vt:i4>
      </vt:variant>
      <vt:variant>
        <vt:i4>74</vt:i4>
      </vt:variant>
      <vt:variant>
        <vt:i4>0</vt:i4>
      </vt:variant>
      <vt:variant>
        <vt:i4>5</vt:i4>
      </vt:variant>
      <vt:variant>
        <vt:lpwstr/>
      </vt:variant>
      <vt:variant>
        <vt:lpwstr>_Toc54203054</vt:lpwstr>
      </vt:variant>
      <vt:variant>
        <vt:i4>1048625</vt:i4>
      </vt:variant>
      <vt:variant>
        <vt:i4>71</vt:i4>
      </vt:variant>
      <vt:variant>
        <vt:i4>0</vt:i4>
      </vt:variant>
      <vt:variant>
        <vt:i4>5</vt:i4>
      </vt:variant>
      <vt:variant>
        <vt:lpwstr/>
      </vt:variant>
      <vt:variant>
        <vt:lpwstr>_Toc54203053</vt:lpwstr>
      </vt:variant>
      <vt:variant>
        <vt:i4>1114161</vt:i4>
      </vt:variant>
      <vt:variant>
        <vt:i4>68</vt:i4>
      </vt:variant>
      <vt:variant>
        <vt:i4>0</vt:i4>
      </vt:variant>
      <vt:variant>
        <vt:i4>5</vt:i4>
      </vt:variant>
      <vt:variant>
        <vt:lpwstr/>
      </vt:variant>
      <vt:variant>
        <vt:lpwstr>_Toc54203052</vt:lpwstr>
      </vt:variant>
      <vt:variant>
        <vt:i4>1900595</vt:i4>
      </vt:variant>
      <vt:variant>
        <vt:i4>62</vt:i4>
      </vt:variant>
      <vt:variant>
        <vt:i4>0</vt:i4>
      </vt:variant>
      <vt:variant>
        <vt:i4>5</vt:i4>
      </vt:variant>
      <vt:variant>
        <vt:lpwstr/>
      </vt:variant>
      <vt:variant>
        <vt:lpwstr>_Toc54201759</vt:lpwstr>
      </vt:variant>
      <vt:variant>
        <vt:i4>1835059</vt:i4>
      </vt:variant>
      <vt:variant>
        <vt:i4>59</vt:i4>
      </vt:variant>
      <vt:variant>
        <vt:i4>0</vt:i4>
      </vt:variant>
      <vt:variant>
        <vt:i4>5</vt:i4>
      </vt:variant>
      <vt:variant>
        <vt:lpwstr/>
      </vt:variant>
      <vt:variant>
        <vt:lpwstr>_Toc54201758</vt:lpwstr>
      </vt:variant>
      <vt:variant>
        <vt:i4>1245235</vt:i4>
      </vt:variant>
      <vt:variant>
        <vt:i4>56</vt:i4>
      </vt:variant>
      <vt:variant>
        <vt:i4>0</vt:i4>
      </vt:variant>
      <vt:variant>
        <vt:i4>5</vt:i4>
      </vt:variant>
      <vt:variant>
        <vt:lpwstr/>
      </vt:variant>
      <vt:variant>
        <vt:lpwstr>_Toc54201757</vt:lpwstr>
      </vt:variant>
      <vt:variant>
        <vt:i4>1179699</vt:i4>
      </vt:variant>
      <vt:variant>
        <vt:i4>53</vt:i4>
      </vt:variant>
      <vt:variant>
        <vt:i4>0</vt:i4>
      </vt:variant>
      <vt:variant>
        <vt:i4>5</vt:i4>
      </vt:variant>
      <vt:variant>
        <vt:lpwstr/>
      </vt:variant>
      <vt:variant>
        <vt:lpwstr>_Toc54201756</vt:lpwstr>
      </vt:variant>
      <vt:variant>
        <vt:i4>1114163</vt:i4>
      </vt:variant>
      <vt:variant>
        <vt:i4>50</vt:i4>
      </vt:variant>
      <vt:variant>
        <vt:i4>0</vt:i4>
      </vt:variant>
      <vt:variant>
        <vt:i4>5</vt:i4>
      </vt:variant>
      <vt:variant>
        <vt:lpwstr/>
      </vt:variant>
      <vt:variant>
        <vt:lpwstr>_Toc54201755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Stefan</cp:lastModifiedBy>
  <cp:revision>145</cp:revision>
  <cp:lastPrinted>2008-01-31T07:09:00Z</cp:lastPrinted>
  <dcterms:created xsi:type="dcterms:W3CDTF">2020-10-20T08:55:00Z</dcterms:created>
  <dcterms:modified xsi:type="dcterms:W3CDTF">2020-10-22T18:37:00Z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